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615CF" w14:textId="77777777" w:rsidR="00695A98" w:rsidRDefault="00695A98" w:rsidP="00695A98">
      <w:pPr>
        <w:pStyle w:val="NormalWeb"/>
      </w:pPr>
      <w:r>
        <w:rPr>
          <w:rFonts w:ascii="Times" w:hAnsi="Times"/>
          <w:sz w:val="32"/>
          <w:szCs w:val="32"/>
        </w:rPr>
        <w:t xml:space="preserve">1 </w:t>
      </w:r>
    </w:p>
    <w:p w14:paraId="0FAF6943" w14:textId="77777777" w:rsidR="00695A98" w:rsidRDefault="00695A98" w:rsidP="00695A98">
      <w:pPr>
        <w:pStyle w:val="NormalWeb"/>
      </w:pPr>
      <w:r>
        <w:rPr>
          <w:rFonts w:ascii="Times" w:hAnsi="Times"/>
          <w:sz w:val="22"/>
          <w:szCs w:val="22"/>
        </w:rPr>
        <w:t xml:space="preserve">THE ATLANTIC OCEAN AND ITS CONTEMPORARY MEANINGS, 1492–1808 </w:t>
      </w:r>
    </w:p>
    <w:p w14:paraId="5765F89E" w14:textId="77777777" w:rsidR="00695A98" w:rsidRDefault="00695A98" w:rsidP="00695A98">
      <w:pPr>
        <w:pStyle w:val="NormalWeb"/>
      </w:pPr>
      <w:r>
        <w:rPr>
          <w:rFonts w:ascii="Times" w:hAnsi="Times"/>
          <w:sz w:val="18"/>
          <w:szCs w:val="18"/>
        </w:rPr>
        <w:t xml:space="preserve">JOYCE E. CHAPLIN </w:t>
      </w:r>
    </w:p>
    <w:p w14:paraId="7DFFB7F6" w14:textId="77777777" w:rsidR="00695A98" w:rsidRDefault="00695A98" w:rsidP="00695A98">
      <w:pPr>
        <w:pStyle w:val="NormalWeb"/>
      </w:pPr>
      <w:r>
        <w:rPr>
          <w:rFonts w:ascii="Times" w:hAnsi="Times"/>
          <w:sz w:val="20"/>
          <w:szCs w:val="20"/>
        </w:rPr>
        <w:t xml:space="preserve">Those who study Atlantic history are familiar with the criticism that their topic is an ex post facto concept, convenient for scholars today yet meaning- less for people in the past. Critics of Atlantic history have also claimed that the field is little more than a new form of imperial history, a way to revive analysis of the top-down creation of modern empires in the Americas, a creation in which European-derived elites held pride of place. These </w:t>
      </w:r>
      <w:proofErr w:type="spellStart"/>
      <w:r>
        <w:rPr>
          <w:rFonts w:ascii="Times" w:hAnsi="Times"/>
          <w:sz w:val="20"/>
          <w:szCs w:val="20"/>
        </w:rPr>
        <w:t>criti</w:t>
      </w:r>
      <w:proofErr w:type="spellEnd"/>
      <w:r>
        <w:rPr>
          <w:rFonts w:ascii="Times" w:hAnsi="Times"/>
          <w:sz w:val="20"/>
          <w:szCs w:val="20"/>
        </w:rPr>
        <w:t xml:space="preserve">- </w:t>
      </w:r>
      <w:proofErr w:type="spellStart"/>
      <w:r>
        <w:rPr>
          <w:rFonts w:ascii="Times" w:hAnsi="Times"/>
          <w:sz w:val="20"/>
          <w:szCs w:val="20"/>
        </w:rPr>
        <w:t>cisms</w:t>
      </w:r>
      <w:proofErr w:type="spellEnd"/>
      <w:r>
        <w:rPr>
          <w:rFonts w:ascii="Times" w:hAnsi="Times"/>
          <w:sz w:val="20"/>
          <w:szCs w:val="20"/>
        </w:rPr>
        <w:t xml:space="preserve"> are not without merit, but they themselves simplify the history of the Atlantic. In fact, the concept of “Atlantic” was a meaningful one for many of the people who lived around that ocean from the year 1492, when Columbus crossed the Atlantic, to 1808 and the abolition of the Atlantic slave trade in the United States and Britain. “Atlantic” was an actors’ cat- </w:t>
      </w:r>
      <w:proofErr w:type="spellStart"/>
      <w:r>
        <w:rPr>
          <w:rFonts w:ascii="Times" w:hAnsi="Times"/>
          <w:sz w:val="20"/>
          <w:szCs w:val="20"/>
        </w:rPr>
        <w:t>egory</w:t>
      </w:r>
      <w:proofErr w:type="spellEnd"/>
      <w:r>
        <w:rPr>
          <w:rFonts w:ascii="Times" w:hAnsi="Times"/>
          <w:sz w:val="20"/>
          <w:szCs w:val="20"/>
        </w:rPr>
        <w:t xml:space="preserve">, meaning one that historical actors themselves used to interpret the ocean as a specific, physical place. And it was not a top-down concept but a meaningful category even for the people at the lower levels of the societies that emerged in the post-Columbian world, especially for the sailors who had the strongest connection to the ocean. </w:t>
      </w:r>
    </w:p>
    <w:p w14:paraId="37C0F909" w14:textId="47E58A52" w:rsidR="00695A98" w:rsidRDefault="00695A98" w:rsidP="00695A98">
      <w:pPr>
        <w:pStyle w:val="NormalWeb"/>
      </w:pPr>
      <w:r>
        <w:rPr>
          <w:rFonts w:ascii="Times" w:hAnsi="Times"/>
          <w:sz w:val="20"/>
          <w:szCs w:val="20"/>
        </w:rPr>
        <w:t xml:space="preserve">Why have past views of the Atlantic Ocean received so little attention? For the most part, historians of the Atlantic have slighted ideas about the natural world, including its oceans. Alfred Crosby, and the handful of scholars who have followed his lead, are the exceptions. Yet the Columbian exchange that Crosby defined was to a large extent the unintended </w:t>
      </w:r>
      <w:proofErr w:type="spellStart"/>
      <w:r>
        <w:rPr>
          <w:rFonts w:ascii="Times" w:hAnsi="Times"/>
          <w:sz w:val="20"/>
          <w:szCs w:val="20"/>
        </w:rPr>
        <w:t>handi</w:t>
      </w:r>
      <w:proofErr w:type="spellEnd"/>
      <w:r>
        <w:rPr>
          <w:rFonts w:ascii="Times" w:hAnsi="Times"/>
          <w:sz w:val="20"/>
          <w:szCs w:val="20"/>
        </w:rPr>
        <w:t>- work of Europeans, who transferred tobacco to the Old World and small- pox to the New World with little awareness of the consequences of their actions—they did not understand the natural world the way Crosby could understand it, long after the fact. That makes it different from a history that looks at how early modern people themselves comprehended the natural world, including the Atlantic Ocean. Moreover, the maritime historians who have examined sailors as economic, social, and political actors have not seriously considered the intellectual contribution that their subjects made to conceptions of the ocean. Scattered analyses—by historians of cartography, science, and the environment—nevertheless make clear that a history of the Atlantic Ocean’s past meanings can and should be written.</w:t>
      </w:r>
      <w:r>
        <w:rPr>
          <w:rFonts w:ascii="Times" w:hAnsi="Times"/>
          <w:position w:val="6"/>
          <w:sz w:val="12"/>
          <w:szCs w:val="12"/>
        </w:rPr>
        <w:t xml:space="preserve">1 </w:t>
      </w:r>
    </w:p>
    <w:p w14:paraId="011E9B13" w14:textId="77777777" w:rsidR="00695A98" w:rsidRDefault="00695A98" w:rsidP="00695A98">
      <w:pPr>
        <w:pStyle w:val="NormalWeb"/>
      </w:pPr>
      <w:r>
        <w:rPr>
          <w:rFonts w:ascii="Times" w:hAnsi="Times"/>
          <w:sz w:val="20"/>
          <w:szCs w:val="20"/>
        </w:rPr>
        <w:t xml:space="preserve">The history of the Atlantic’s contemporary meanings occurred in three stages. In the first, Europeans thought of the Atlantic as a geographic space to </w:t>
      </w:r>
      <w:r>
        <w:rPr>
          <w:rFonts w:ascii="Times" w:hAnsi="Times"/>
          <w:i/>
          <w:iCs/>
          <w:sz w:val="20"/>
          <w:szCs w:val="20"/>
        </w:rPr>
        <w:t>get across</w:t>
      </w:r>
      <w:r>
        <w:rPr>
          <w:rFonts w:ascii="Times" w:hAnsi="Times"/>
          <w:sz w:val="20"/>
          <w:szCs w:val="20"/>
        </w:rPr>
        <w:t xml:space="preserve">, a rather belated idea that contradicted an ancient suspicion that the ocean was not a real space at all. In the second stage, the peoples in the post-Columbian countries that faced the Atlantic thought of that ocean as a space in which to </w:t>
      </w:r>
      <w:r>
        <w:rPr>
          <w:rFonts w:ascii="Times" w:hAnsi="Times"/>
          <w:i/>
          <w:iCs/>
          <w:sz w:val="20"/>
          <w:szCs w:val="20"/>
        </w:rPr>
        <w:t>make or imagine physical connections</w:t>
      </w:r>
      <w:r>
        <w:rPr>
          <w:rFonts w:ascii="Times" w:hAnsi="Times"/>
          <w:sz w:val="20"/>
          <w:szCs w:val="20"/>
        </w:rPr>
        <w:t xml:space="preserve">, both among different places and among different natural forces. In the last stage, people emphasized the Atlantic’s value as a </w:t>
      </w:r>
      <w:r>
        <w:rPr>
          <w:rFonts w:ascii="Times" w:hAnsi="Times"/>
          <w:i/>
          <w:iCs/>
          <w:sz w:val="20"/>
          <w:szCs w:val="20"/>
        </w:rPr>
        <w:t>route elsewhere</w:t>
      </w:r>
      <w:r>
        <w:rPr>
          <w:rFonts w:ascii="Times" w:hAnsi="Times"/>
          <w:sz w:val="20"/>
          <w:szCs w:val="20"/>
        </w:rPr>
        <w:t xml:space="preserve">, especially when the Pacific became a new destination for them. These were not perfectly distinct ideas of the Atlantic Ocean. But different motives inspired each one and they fall, moreover, into a roughly chronological sequence, beginning with European ventures westward across the Atlantic, going through the creation of European empires that fostered a dense seascape of activity around the Atlantic, and then taking a new direction with Louis Antoine de </w:t>
      </w:r>
      <w:proofErr w:type="spellStart"/>
      <w:r>
        <w:rPr>
          <w:rFonts w:ascii="Times" w:hAnsi="Times"/>
          <w:sz w:val="20"/>
          <w:szCs w:val="20"/>
        </w:rPr>
        <w:t>Bougain</w:t>
      </w:r>
      <w:proofErr w:type="spellEnd"/>
      <w:r>
        <w:rPr>
          <w:rFonts w:ascii="Times" w:hAnsi="Times"/>
          <w:sz w:val="20"/>
          <w:szCs w:val="20"/>
        </w:rPr>
        <w:t xml:space="preserve">- </w:t>
      </w:r>
      <w:proofErr w:type="spellStart"/>
      <w:r>
        <w:rPr>
          <w:rFonts w:ascii="Times" w:hAnsi="Times"/>
          <w:sz w:val="20"/>
          <w:szCs w:val="20"/>
        </w:rPr>
        <w:t>ville’s</w:t>
      </w:r>
      <w:proofErr w:type="spellEnd"/>
      <w:r>
        <w:rPr>
          <w:rFonts w:ascii="Times" w:hAnsi="Times"/>
          <w:sz w:val="20"/>
          <w:szCs w:val="20"/>
        </w:rPr>
        <w:t xml:space="preserve"> and James Cook’s voyages into the Pacific, which offered new </w:t>
      </w:r>
      <w:proofErr w:type="spellStart"/>
      <w:r>
        <w:rPr>
          <w:rFonts w:ascii="Times" w:hAnsi="Times"/>
          <w:sz w:val="20"/>
          <w:szCs w:val="20"/>
        </w:rPr>
        <w:t>oppor</w:t>
      </w:r>
      <w:proofErr w:type="spellEnd"/>
      <w:r>
        <w:rPr>
          <w:rFonts w:ascii="Times" w:hAnsi="Times"/>
          <w:sz w:val="20"/>
          <w:szCs w:val="20"/>
        </w:rPr>
        <w:t xml:space="preserve">- </w:t>
      </w:r>
      <w:proofErr w:type="spellStart"/>
      <w:r>
        <w:rPr>
          <w:rFonts w:ascii="Times" w:hAnsi="Times"/>
          <w:sz w:val="20"/>
          <w:szCs w:val="20"/>
        </w:rPr>
        <w:t>tunities</w:t>
      </w:r>
      <w:proofErr w:type="spellEnd"/>
      <w:r>
        <w:rPr>
          <w:rFonts w:ascii="Times" w:hAnsi="Times"/>
          <w:sz w:val="20"/>
          <w:szCs w:val="20"/>
        </w:rPr>
        <w:t xml:space="preserve"> to the residents of Europe as well as of the European colonies that had emerged around the Atlantic Ocean. </w:t>
      </w:r>
    </w:p>
    <w:p w14:paraId="0E2FE25A" w14:textId="77777777" w:rsidR="00695A98" w:rsidRDefault="00695A98" w:rsidP="00695A98">
      <w:pPr>
        <w:pStyle w:val="NormalWeb"/>
      </w:pPr>
      <w:r>
        <w:rPr>
          <w:rFonts w:ascii="Times" w:hAnsi="Times"/>
          <w:sz w:val="20"/>
          <w:szCs w:val="20"/>
        </w:rPr>
        <w:t xml:space="preserve">Europeans had had remarkably little interest in crossing the Atlantic for several millennia. Their earliest images of the ocean had represented it as a vast and mysterious barrier around the known world. Such </w:t>
      </w:r>
      <w:proofErr w:type="spellStart"/>
      <w:r>
        <w:rPr>
          <w:rFonts w:ascii="Times" w:hAnsi="Times"/>
          <w:sz w:val="20"/>
          <w:szCs w:val="20"/>
        </w:rPr>
        <w:t>representa</w:t>
      </w:r>
      <w:proofErr w:type="spellEnd"/>
      <w:r>
        <w:rPr>
          <w:rFonts w:ascii="Times" w:hAnsi="Times"/>
          <w:sz w:val="20"/>
          <w:szCs w:val="20"/>
        </w:rPr>
        <w:t xml:space="preserve">- </w:t>
      </w:r>
      <w:proofErr w:type="spellStart"/>
      <w:r>
        <w:rPr>
          <w:rFonts w:ascii="Times" w:hAnsi="Times"/>
          <w:sz w:val="20"/>
          <w:szCs w:val="20"/>
        </w:rPr>
        <w:t>tions</w:t>
      </w:r>
      <w:proofErr w:type="spellEnd"/>
      <w:r>
        <w:rPr>
          <w:rFonts w:ascii="Times" w:hAnsi="Times"/>
          <w:sz w:val="20"/>
          <w:szCs w:val="20"/>
        </w:rPr>
        <w:t xml:space="preserve"> followed the ancient Greek idea of the world as a circle on which a single ocean flowed around an Earth that lay at the center. Europeans and Arabs both adopted this Greek conception. For them, the Atlantic was the western part of the watery barrier that enclosed the world and led nowhere. It made perfect sense to them to think of the world this way. Ancient traders, migrants, and invaders had plenty of room for their activities within Europe, Africa, and Asia. Those places </w:t>
      </w:r>
      <w:r>
        <w:rPr>
          <w:rFonts w:ascii="Times" w:hAnsi="Times"/>
          <w:i/>
          <w:iCs/>
          <w:sz w:val="20"/>
          <w:szCs w:val="20"/>
        </w:rPr>
        <w:t xml:space="preserve">were </w:t>
      </w:r>
      <w:r>
        <w:rPr>
          <w:rFonts w:ascii="Times" w:hAnsi="Times"/>
          <w:sz w:val="20"/>
          <w:szCs w:val="20"/>
        </w:rPr>
        <w:t>the world, and smaller bodies of water, especially the Mediterranean, already connected most of that world.</w:t>
      </w:r>
      <w:r>
        <w:rPr>
          <w:rFonts w:ascii="Times" w:hAnsi="Times"/>
          <w:position w:val="6"/>
          <w:sz w:val="12"/>
          <w:szCs w:val="12"/>
        </w:rPr>
        <w:t xml:space="preserve">2 </w:t>
      </w:r>
    </w:p>
    <w:p w14:paraId="24780E20" w14:textId="4BF84DDF" w:rsidR="00695A98" w:rsidRDefault="00695A98" w:rsidP="00695A98">
      <w:pPr>
        <w:pStyle w:val="NormalWeb"/>
      </w:pPr>
      <w:r>
        <w:rPr>
          <w:rFonts w:ascii="Times" w:hAnsi="Times"/>
          <w:sz w:val="20"/>
          <w:szCs w:val="20"/>
        </w:rPr>
        <w:t xml:space="preserve">The western ocean was, in contrast, otherworldly, a place where the sun set, the gods dwelt, the dead retired. Consider two of the celebrated labors of Hercules. In one, he fetched the red cattle of Geryon, who lived far to the west, under the setting sun. On his way, Hercules set up twin pillars to mark the exit from the Mediterranean world. </w:t>
      </w:r>
      <w:r>
        <w:rPr>
          <w:rFonts w:ascii="Times" w:hAnsi="Times"/>
          <w:sz w:val="20"/>
          <w:szCs w:val="20"/>
        </w:rPr>
        <w:lastRenderedPageBreak/>
        <w:t xml:space="preserve">A second task required Hercules to fetch the golden apples of the Hesperides, nymphs whose enchanted garden lay far west in the realm of unearthly beings. Hercules appealed for help to the Titan Atlas, who had been condemned to hold the heavens up and away from the Earth, and who did so at the very western edge of the </w:t>
      </w:r>
      <w:proofErr w:type="spellStart"/>
      <w:r>
        <w:rPr>
          <w:rFonts w:ascii="Times" w:hAnsi="Times"/>
          <w:sz w:val="20"/>
          <w:szCs w:val="20"/>
        </w:rPr>
        <w:t>Mediterra</w:t>
      </w:r>
      <w:proofErr w:type="spellEnd"/>
      <w:r>
        <w:rPr>
          <w:rFonts w:ascii="Times" w:hAnsi="Times"/>
          <w:sz w:val="20"/>
          <w:szCs w:val="20"/>
        </w:rPr>
        <w:t xml:space="preserve">- </w:t>
      </w:r>
      <w:proofErr w:type="spellStart"/>
      <w:r>
        <w:rPr>
          <w:rFonts w:ascii="Times" w:hAnsi="Times"/>
          <w:sz w:val="20"/>
          <w:szCs w:val="20"/>
        </w:rPr>
        <w:t>nean</w:t>
      </w:r>
      <w:proofErr w:type="spellEnd"/>
      <w:r>
        <w:rPr>
          <w:rFonts w:ascii="Times" w:hAnsi="Times"/>
          <w:sz w:val="20"/>
          <w:szCs w:val="20"/>
        </w:rPr>
        <w:t xml:space="preserve">, close to the Hesperides. Hercules gamely held up the heavens while Atlas went and got him the golden apples, then tricked Atlas into shoulder- </w:t>
      </w:r>
      <w:proofErr w:type="spellStart"/>
      <w:r>
        <w:rPr>
          <w:rFonts w:ascii="Times" w:hAnsi="Times"/>
          <w:sz w:val="20"/>
          <w:szCs w:val="20"/>
        </w:rPr>
        <w:t>ing</w:t>
      </w:r>
      <w:proofErr w:type="spellEnd"/>
      <w:r>
        <w:rPr>
          <w:rFonts w:ascii="Times" w:hAnsi="Times"/>
          <w:sz w:val="20"/>
          <w:szCs w:val="20"/>
        </w:rPr>
        <w:t xml:space="preserve"> the burden yet again. Doomed to his cosmic task at the very edge of the known world, Atlas was nevertheless honored when his name was bestowed on geographic features assumed to be near him: the Atlas Mountains, in northwest Africa, and the Atlantic Ocean, into which the Mediterranean ran—the Pillars of Hercules marked the transition between the two bodies of water. Altogether, these legends recorded an ancient fear that the Atlantic was not a real place, but an unearthly margin between the human realm and the nonhuman one.</w:t>
      </w:r>
      <w:r>
        <w:rPr>
          <w:rFonts w:ascii="Times" w:hAnsi="Times"/>
          <w:position w:val="6"/>
          <w:sz w:val="12"/>
          <w:szCs w:val="12"/>
        </w:rPr>
        <w:t xml:space="preserve">3 </w:t>
      </w:r>
    </w:p>
    <w:p w14:paraId="2CC29FAB" w14:textId="77777777" w:rsidR="00695A98" w:rsidRDefault="00695A98" w:rsidP="00695A98">
      <w:pPr>
        <w:pStyle w:val="NormalWeb"/>
      </w:pPr>
      <w:r>
        <w:rPr>
          <w:rFonts w:ascii="Times" w:hAnsi="Times"/>
          <w:sz w:val="20"/>
          <w:szCs w:val="20"/>
        </w:rPr>
        <w:t xml:space="preserve">So otherworldly did the Atlantic seem that neither Europeans nor Arabs represented it as a full ocean. It appeared only as a narrow, external barrier on maps of the world down through the Middle Ages. It was certainly the case that Europeans, as well as people from North Africa and the Near East, were quite busy exploring Atlantic coastlines, but they paid attention only to the ribbon of water just alongside the land, which is all that they bothered to map, even though their maps might represent other bodies of water in considerable detail, including the Mediterranean, the North Sea, and (some- times) the Indian Ocean. These features are apparent on a famous Latin version of Ptolemy’s </w:t>
      </w:r>
      <w:proofErr w:type="spellStart"/>
      <w:r>
        <w:rPr>
          <w:rFonts w:ascii="Times" w:hAnsi="Times"/>
          <w:i/>
          <w:iCs/>
          <w:sz w:val="20"/>
          <w:szCs w:val="20"/>
        </w:rPr>
        <w:t>Geographia</w:t>
      </w:r>
      <w:proofErr w:type="spellEnd"/>
      <w:r>
        <w:rPr>
          <w:rFonts w:ascii="Times" w:hAnsi="Times"/>
          <w:sz w:val="20"/>
          <w:szCs w:val="20"/>
        </w:rPr>
        <w:t xml:space="preserve">. That ancient Greek text had been known to Arab scholars but was not available in Europe until translated into Latin in 1406. The first printed edition with maps, of 1477, included a world map on which the main bodies of water are the Indian Ocean and the </w:t>
      </w:r>
      <w:proofErr w:type="spellStart"/>
      <w:r>
        <w:rPr>
          <w:rFonts w:ascii="Times" w:hAnsi="Times"/>
          <w:sz w:val="20"/>
          <w:szCs w:val="20"/>
        </w:rPr>
        <w:t>Mediter</w:t>
      </w:r>
      <w:proofErr w:type="spellEnd"/>
      <w:r>
        <w:rPr>
          <w:rFonts w:ascii="Times" w:hAnsi="Times"/>
          <w:sz w:val="20"/>
          <w:szCs w:val="20"/>
        </w:rPr>
        <w:t xml:space="preserve">- </w:t>
      </w:r>
      <w:proofErr w:type="spellStart"/>
      <w:r>
        <w:rPr>
          <w:rFonts w:ascii="Times" w:hAnsi="Times"/>
          <w:sz w:val="20"/>
          <w:szCs w:val="20"/>
        </w:rPr>
        <w:t>ranean</w:t>
      </w:r>
      <w:proofErr w:type="spellEnd"/>
      <w:r>
        <w:rPr>
          <w:rFonts w:ascii="Times" w:hAnsi="Times"/>
          <w:sz w:val="20"/>
          <w:szCs w:val="20"/>
        </w:rPr>
        <w:t>. The Atlantic Ocean appears as a strip of water off Africa, and its northern counterpart, the Western Ocean, is similarly indicated above it. (Even more tellingly, the Pacific is entirely absent.)</w:t>
      </w:r>
      <w:r>
        <w:rPr>
          <w:rFonts w:ascii="Times" w:hAnsi="Times"/>
          <w:position w:val="6"/>
          <w:sz w:val="12"/>
          <w:szCs w:val="12"/>
        </w:rPr>
        <w:t xml:space="preserve">4 </w:t>
      </w:r>
    </w:p>
    <w:p w14:paraId="417425E2" w14:textId="77777777" w:rsidR="00695A98" w:rsidRDefault="00695A98" w:rsidP="00695A98">
      <w:pPr>
        <w:pStyle w:val="NormalWeb"/>
      </w:pPr>
      <w:r>
        <w:rPr>
          <w:rFonts w:ascii="Times" w:hAnsi="Times"/>
          <w:sz w:val="20"/>
          <w:szCs w:val="20"/>
        </w:rPr>
        <w:t xml:space="preserve">It was impossible for Europeans to consider the Atlantic as a full ocean, so much so that those who made the first recorded crossing had a differ- </w:t>
      </w:r>
      <w:proofErr w:type="spellStart"/>
      <w:r>
        <w:rPr>
          <w:rFonts w:ascii="Times" w:hAnsi="Times"/>
          <w:sz w:val="20"/>
          <w:szCs w:val="20"/>
        </w:rPr>
        <w:t>ent</w:t>
      </w:r>
      <w:proofErr w:type="spellEnd"/>
      <w:r>
        <w:rPr>
          <w:rFonts w:ascii="Times" w:hAnsi="Times"/>
          <w:sz w:val="20"/>
          <w:szCs w:val="20"/>
        </w:rPr>
        <w:t xml:space="preserve"> idea about their accomplishment. When the Norse ventured out from Iceland and settled at L’Anse aux Meadows in what is now Canada, they believed themselves to be in Africa. They assumed they had traveled along the rim of the Atlantic, on an alternative route to part of the world they already knew. They could not conceive that they had actually crossed the dreaded barrier between their familiar world and the land of the setting sun. We cannot tell whether the English fishermen who followed the Norse had a different idea about their location. The English had begun fishing near </w:t>
      </w:r>
    </w:p>
    <w:p w14:paraId="04FDEFE3" w14:textId="1F3257E9" w:rsidR="00695A98" w:rsidRDefault="00695A98" w:rsidP="00695A98">
      <w:pPr>
        <w:pStyle w:val="NormalWeb"/>
      </w:pPr>
      <w:r>
        <w:rPr>
          <w:rFonts w:ascii="Times" w:hAnsi="Times"/>
          <w:i/>
          <w:iCs/>
          <w:sz w:val="18"/>
          <w:szCs w:val="18"/>
        </w:rPr>
        <w:t xml:space="preserve">Atlantic History </w:t>
      </w:r>
    </w:p>
    <w:p w14:paraId="1CE88D91" w14:textId="77777777" w:rsidR="00695A98" w:rsidRDefault="00695A98" w:rsidP="00695A98">
      <w:pPr>
        <w:pStyle w:val="NormalWeb"/>
      </w:pPr>
      <w:r>
        <w:rPr>
          <w:rFonts w:ascii="Times" w:hAnsi="Times"/>
          <w:sz w:val="20"/>
          <w:szCs w:val="20"/>
        </w:rPr>
        <w:t>Iceland by the early 1400s and had, by the 1470s or 1480s, moved beyond Greenland toward Newfoundland. They were not eager to tell anyone what they were doing—the location of their activities was a trade secret of sorts. The information nevertheless seems to have slipped out to other maritime people, from whom Christopher Columbus got some intriguing information about sailing westward across the Atlantic and encountering land.</w:t>
      </w:r>
      <w:r>
        <w:rPr>
          <w:rFonts w:ascii="Times" w:hAnsi="Times"/>
          <w:position w:val="6"/>
          <w:sz w:val="12"/>
          <w:szCs w:val="12"/>
        </w:rPr>
        <w:t xml:space="preserve">5 </w:t>
      </w:r>
    </w:p>
    <w:p w14:paraId="208BACB3" w14:textId="77777777" w:rsidR="00695A98" w:rsidRDefault="00695A98" w:rsidP="00695A98">
      <w:pPr>
        <w:pStyle w:val="NormalWeb"/>
      </w:pPr>
      <w:r>
        <w:rPr>
          <w:rFonts w:ascii="Times" w:hAnsi="Times"/>
          <w:sz w:val="20"/>
          <w:szCs w:val="20"/>
        </w:rPr>
        <w:t xml:space="preserve">Columbus would be the first person to transform the Atlantic from unknown barrier to physical entity although, significantly, he was not entirely aware that he had done so. He had underestimated the distance between Europe and Asia, and therefore had no conception of the extent of the ocean between those two continents, let alone any realization of the existence of a new continent at the western edge of the Atlantic. He </w:t>
      </w:r>
      <w:proofErr w:type="spellStart"/>
      <w:r>
        <w:rPr>
          <w:rFonts w:ascii="Times" w:hAnsi="Times"/>
          <w:sz w:val="20"/>
          <w:szCs w:val="20"/>
        </w:rPr>
        <w:t>contin</w:t>
      </w:r>
      <w:proofErr w:type="spellEnd"/>
      <w:r>
        <w:rPr>
          <w:rFonts w:ascii="Times" w:hAnsi="Times"/>
          <w:sz w:val="20"/>
          <w:szCs w:val="20"/>
        </w:rPr>
        <w:t xml:space="preserve">- </w:t>
      </w:r>
      <w:proofErr w:type="spellStart"/>
      <w:r>
        <w:rPr>
          <w:rFonts w:ascii="Times" w:hAnsi="Times"/>
          <w:sz w:val="20"/>
          <w:szCs w:val="20"/>
        </w:rPr>
        <w:t>ued</w:t>
      </w:r>
      <w:proofErr w:type="spellEnd"/>
      <w:r>
        <w:rPr>
          <w:rFonts w:ascii="Times" w:hAnsi="Times"/>
          <w:sz w:val="20"/>
          <w:szCs w:val="20"/>
        </w:rPr>
        <w:t xml:space="preserve"> to think of the places he explored on the opposite side of the Atlantic as parts of Asia; only later would subsequent explorers and cartographers grasp that the Atlantic led not to another part of the Old World but to a world entirely new to them. And even after Columbus’s historic westward venture, Europeans continued to consider the Atlantic within the old </w:t>
      </w:r>
      <w:proofErr w:type="spellStart"/>
      <w:r>
        <w:rPr>
          <w:rFonts w:ascii="Times" w:hAnsi="Times"/>
          <w:sz w:val="20"/>
          <w:szCs w:val="20"/>
        </w:rPr>
        <w:t>mysti</w:t>
      </w:r>
      <w:proofErr w:type="spellEnd"/>
      <w:r>
        <w:rPr>
          <w:rFonts w:ascii="Times" w:hAnsi="Times"/>
          <w:sz w:val="20"/>
          <w:szCs w:val="20"/>
        </w:rPr>
        <w:t xml:space="preserve">- </w:t>
      </w:r>
      <w:proofErr w:type="spellStart"/>
      <w:r>
        <w:rPr>
          <w:rFonts w:ascii="Times" w:hAnsi="Times"/>
          <w:sz w:val="20"/>
          <w:szCs w:val="20"/>
        </w:rPr>
        <w:t>cal</w:t>
      </w:r>
      <w:proofErr w:type="spellEnd"/>
      <w:r>
        <w:rPr>
          <w:rFonts w:ascii="Times" w:hAnsi="Times"/>
          <w:sz w:val="20"/>
          <w:szCs w:val="20"/>
        </w:rPr>
        <w:t xml:space="preserve"> terms. </w:t>
      </w:r>
      <w:proofErr w:type="gramStart"/>
      <w:r>
        <w:rPr>
          <w:rFonts w:ascii="Times" w:hAnsi="Times"/>
          <w:sz w:val="20"/>
          <w:szCs w:val="20"/>
        </w:rPr>
        <w:t>Thus</w:t>
      </w:r>
      <w:proofErr w:type="gramEnd"/>
      <w:r>
        <w:rPr>
          <w:rFonts w:ascii="Times" w:hAnsi="Times"/>
          <w:sz w:val="20"/>
          <w:szCs w:val="20"/>
        </w:rPr>
        <w:t xml:space="preserve"> the Spanish used the mythical Pillars of Hercules to denote how their Atlantic empire connected two worlds. Other Europeans adopted the image, as well. One famous example is Francis Bacon’s frontispiece to his </w:t>
      </w:r>
      <w:r>
        <w:rPr>
          <w:rFonts w:ascii="Times" w:hAnsi="Times"/>
          <w:i/>
          <w:iCs/>
          <w:sz w:val="20"/>
          <w:szCs w:val="20"/>
        </w:rPr>
        <w:t>Great Instauration</w:t>
      </w:r>
      <w:r>
        <w:rPr>
          <w:rFonts w:ascii="Times" w:hAnsi="Times"/>
          <w:sz w:val="20"/>
          <w:szCs w:val="20"/>
        </w:rPr>
        <w:t>, published in 1620, which indicated the frontiers of human knowledge with an image of a ship headed out into the Atlantic, beyond the Pillars of Hercules.</w:t>
      </w:r>
      <w:r>
        <w:rPr>
          <w:rFonts w:ascii="Times" w:hAnsi="Times"/>
          <w:position w:val="6"/>
          <w:sz w:val="12"/>
          <w:szCs w:val="12"/>
        </w:rPr>
        <w:t xml:space="preserve">6 </w:t>
      </w:r>
    </w:p>
    <w:p w14:paraId="296D0B45" w14:textId="77777777" w:rsidR="00695A98" w:rsidRDefault="00695A98" w:rsidP="00695A98">
      <w:pPr>
        <w:pStyle w:val="NormalWeb"/>
      </w:pPr>
      <w:r>
        <w:rPr>
          <w:rFonts w:ascii="Times" w:hAnsi="Times"/>
          <w:sz w:val="20"/>
          <w:szCs w:val="20"/>
        </w:rPr>
        <w:t xml:space="preserve">The Spanish were also, however, quite busy demystifying the Atlantic. Shortly after Columbus’s voyages, Spaniards began to produce sea charts and navigation manuals, some of which were printed and an increasing number of which would include information about getting to America: they cataloged prevailing currents, patterns of wind, useful landfalls, and dreaded obstacles. The first printed Spanish navigation guide, </w:t>
      </w:r>
      <w:proofErr w:type="spellStart"/>
      <w:r>
        <w:rPr>
          <w:rFonts w:ascii="Times" w:hAnsi="Times"/>
          <w:sz w:val="20"/>
          <w:szCs w:val="20"/>
        </w:rPr>
        <w:t>Martín</w:t>
      </w:r>
      <w:proofErr w:type="spellEnd"/>
      <w:r>
        <w:rPr>
          <w:rFonts w:ascii="Times" w:hAnsi="Times"/>
          <w:sz w:val="20"/>
          <w:szCs w:val="20"/>
        </w:rPr>
        <w:t xml:space="preserve"> </w:t>
      </w:r>
      <w:proofErr w:type="spellStart"/>
      <w:r>
        <w:rPr>
          <w:rFonts w:ascii="Times" w:hAnsi="Times"/>
          <w:sz w:val="20"/>
          <w:szCs w:val="20"/>
        </w:rPr>
        <w:t>Fernández</w:t>
      </w:r>
      <w:proofErr w:type="spellEnd"/>
      <w:r>
        <w:rPr>
          <w:rFonts w:ascii="Times" w:hAnsi="Times"/>
          <w:sz w:val="20"/>
          <w:szCs w:val="20"/>
        </w:rPr>
        <w:t xml:space="preserve"> de </w:t>
      </w:r>
      <w:proofErr w:type="spellStart"/>
      <w:r>
        <w:rPr>
          <w:rFonts w:ascii="Times" w:hAnsi="Times"/>
          <w:sz w:val="20"/>
          <w:szCs w:val="20"/>
        </w:rPr>
        <w:t>Enciso’s</w:t>
      </w:r>
      <w:proofErr w:type="spellEnd"/>
      <w:r>
        <w:rPr>
          <w:rFonts w:ascii="Times" w:hAnsi="Times"/>
          <w:sz w:val="20"/>
          <w:szCs w:val="20"/>
        </w:rPr>
        <w:t xml:space="preserve"> </w:t>
      </w:r>
      <w:r>
        <w:rPr>
          <w:rFonts w:ascii="Times" w:hAnsi="Times"/>
          <w:i/>
          <w:iCs/>
          <w:sz w:val="20"/>
          <w:szCs w:val="20"/>
        </w:rPr>
        <w:t xml:space="preserve">Suma de </w:t>
      </w:r>
      <w:proofErr w:type="spellStart"/>
      <w:r>
        <w:rPr>
          <w:rFonts w:ascii="Times" w:hAnsi="Times"/>
          <w:i/>
          <w:iCs/>
          <w:sz w:val="20"/>
          <w:szCs w:val="20"/>
        </w:rPr>
        <w:lastRenderedPageBreak/>
        <w:t>geographía</w:t>
      </w:r>
      <w:proofErr w:type="spellEnd"/>
      <w:r>
        <w:rPr>
          <w:rFonts w:ascii="Times" w:hAnsi="Times"/>
          <w:i/>
          <w:iCs/>
          <w:sz w:val="20"/>
          <w:szCs w:val="20"/>
        </w:rPr>
        <w:t xml:space="preserve"> </w:t>
      </w:r>
      <w:r>
        <w:rPr>
          <w:rFonts w:ascii="Times" w:hAnsi="Times"/>
          <w:sz w:val="20"/>
          <w:szCs w:val="20"/>
        </w:rPr>
        <w:t xml:space="preserve">(1519), featured the earliest printed sailing directions for all parts of the world, including the West Indies. By 1540, Roger Barlow had translated the book into English, a translation that may have circulated in manuscript; by 1578 John Frampton had done another translation, of the sailing directions to America alone, and had it printed in London. Similarly, </w:t>
      </w:r>
      <w:proofErr w:type="spellStart"/>
      <w:r>
        <w:rPr>
          <w:rFonts w:ascii="Times" w:hAnsi="Times"/>
          <w:sz w:val="20"/>
          <w:szCs w:val="20"/>
        </w:rPr>
        <w:t>Martín</w:t>
      </w:r>
      <w:proofErr w:type="spellEnd"/>
      <w:r>
        <w:rPr>
          <w:rFonts w:ascii="Times" w:hAnsi="Times"/>
          <w:sz w:val="20"/>
          <w:szCs w:val="20"/>
        </w:rPr>
        <w:t xml:space="preserve"> </w:t>
      </w:r>
      <w:proofErr w:type="spellStart"/>
      <w:r>
        <w:rPr>
          <w:rFonts w:ascii="Times" w:hAnsi="Times"/>
          <w:sz w:val="20"/>
          <w:szCs w:val="20"/>
        </w:rPr>
        <w:t>Cortés’s</w:t>
      </w:r>
      <w:proofErr w:type="spellEnd"/>
      <w:r>
        <w:rPr>
          <w:rFonts w:ascii="Times" w:hAnsi="Times"/>
          <w:sz w:val="20"/>
          <w:szCs w:val="20"/>
        </w:rPr>
        <w:t xml:space="preserve"> </w:t>
      </w:r>
      <w:r>
        <w:rPr>
          <w:rFonts w:ascii="Times" w:hAnsi="Times"/>
          <w:i/>
          <w:iCs/>
          <w:sz w:val="20"/>
          <w:szCs w:val="20"/>
        </w:rPr>
        <w:t xml:space="preserve">Breve </w:t>
      </w:r>
      <w:proofErr w:type="spellStart"/>
      <w:r>
        <w:rPr>
          <w:rFonts w:ascii="Times" w:hAnsi="Times"/>
          <w:i/>
          <w:iCs/>
          <w:sz w:val="20"/>
          <w:szCs w:val="20"/>
        </w:rPr>
        <w:t>compendio</w:t>
      </w:r>
      <w:proofErr w:type="spellEnd"/>
      <w:r>
        <w:rPr>
          <w:rFonts w:ascii="Times" w:hAnsi="Times"/>
          <w:i/>
          <w:iCs/>
          <w:sz w:val="20"/>
          <w:szCs w:val="20"/>
        </w:rPr>
        <w:t xml:space="preserve"> de la </w:t>
      </w:r>
      <w:proofErr w:type="spellStart"/>
      <w:r>
        <w:rPr>
          <w:rFonts w:ascii="Times" w:hAnsi="Times"/>
          <w:i/>
          <w:iCs/>
          <w:sz w:val="20"/>
          <w:szCs w:val="20"/>
        </w:rPr>
        <w:t>sphera</w:t>
      </w:r>
      <w:proofErr w:type="spellEnd"/>
      <w:r>
        <w:rPr>
          <w:rFonts w:ascii="Times" w:hAnsi="Times"/>
          <w:i/>
          <w:iCs/>
          <w:sz w:val="20"/>
          <w:szCs w:val="20"/>
        </w:rPr>
        <w:t xml:space="preserve"> y del </w:t>
      </w:r>
      <w:proofErr w:type="spellStart"/>
      <w:r>
        <w:rPr>
          <w:rFonts w:ascii="Times" w:hAnsi="Times"/>
          <w:i/>
          <w:iCs/>
          <w:sz w:val="20"/>
          <w:szCs w:val="20"/>
        </w:rPr>
        <w:t>arte</w:t>
      </w:r>
      <w:proofErr w:type="spellEnd"/>
      <w:r>
        <w:rPr>
          <w:rFonts w:ascii="Times" w:hAnsi="Times"/>
          <w:i/>
          <w:iCs/>
          <w:sz w:val="20"/>
          <w:szCs w:val="20"/>
        </w:rPr>
        <w:t xml:space="preserve"> de </w:t>
      </w:r>
      <w:proofErr w:type="spellStart"/>
      <w:r>
        <w:rPr>
          <w:rFonts w:ascii="Times" w:hAnsi="Times"/>
          <w:i/>
          <w:iCs/>
          <w:sz w:val="20"/>
          <w:szCs w:val="20"/>
        </w:rPr>
        <w:t>navegar</w:t>
      </w:r>
      <w:proofErr w:type="spellEnd"/>
      <w:r>
        <w:rPr>
          <w:rFonts w:ascii="Times" w:hAnsi="Times"/>
          <w:i/>
          <w:iCs/>
          <w:sz w:val="20"/>
          <w:szCs w:val="20"/>
        </w:rPr>
        <w:t xml:space="preserve"> </w:t>
      </w:r>
      <w:r>
        <w:rPr>
          <w:rFonts w:ascii="Times" w:hAnsi="Times"/>
          <w:sz w:val="20"/>
          <w:szCs w:val="20"/>
        </w:rPr>
        <w:t>(1551, 1554) ran through ten English editions by the year 1630, a significant measure of the importance of Spanish knowledge of the Atlantic for other Europeans.</w:t>
      </w:r>
      <w:r>
        <w:rPr>
          <w:rFonts w:ascii="Times" w:hAnsi="Times"/>
          <w:position w:val="6"/>
          <w:sz w:val="12"/>
          <w:szCs w:val="12"/>
        </w:rPr>
        <w:t xml:space="preserve">7 </w:t>
      </w:r>
    </w:p>
    <w:p w14:paraId="2301E8FE" w14:textId="22E9D60D" w:rsidR="00695A98" w:rsidRDefault="00695A98" w:rsidP="00695A98">
      <w:pPr>
        <w:pStyle w:val="NormalWeb"/>
      </w:pPr>
      <w:proofErr w:type="gramStart"/>
      <w:r>
        <w:rPr>
          <w:rFonts w:ascii="Times" w:hAnsi="Times"/>
          <w:sz w:val="20"/>
          <w:szCs w:val="20"/>
        </w:rPr>
        <w:t>Thus</w:t>
      </w:r>
      <w:proofErr w:type="gramEnd"/>
      <w:r>
        <w:rPr>
          <w:rFonts w:ascii="Times" w:hAnsi="Times"/>
          <w:sz w:val="20"/>
          <w:szCs w:val="20"/>
        </w:rPr>
        <w:t xml:space="preserve"> the crossing of the Atlantic Ocean represented several shifts in the ways Europeans saw the physical world. They questioned a view of the</w:t>
      </w:r>
      <w:r>
        <w:rPr>
          <w:rFonts w:ascii="Times" w:hAnsi="Times"/>
          <w:sz w:val="20"/>
          <w:szCs w:val="20"/>
        </w:rPr>
        <w:t xml:space="preserve"> </w:t>
      </w:r>
      <w:r>
        <w:rPr>
          <w:rFonts w:ascii="Times" w:hAnsi="Times"/>
          <w:sz w:val="20"/>
          <w:szCs w:val="20"/>
        </w:rPr>
        <w:t xml:space="preserve">western ocean as a barrier between the known and unknown worlds, with themselves at the center of the known world. Instead, they adopted a view of the Atlantic as the conduit to what was to them a new world, a globe with interconnected parts. These shifts are apparent in a map of the world that illustrated a 1508 edition of Ptolemy’s </w:t>
      </w:r>
      <w:proofErr w:type="spellStart"/>
      <w:r>
        <w:rPr>
          <w:rFonts w:ascii="Times" w:hAnsi="Times"/>
          <w:i/>
          <w:iCs/>
          <w:sz w:val="20"/>
          <w:szCs w:val="20"/>
        </w:rPr>
        <w:t>Geographia</w:t>
      </w:r>
      <w:proofErr w:type="spellEnd"/>
      <w:r>
        <w:rPr>
          <w:rFonts w:ascii="Times" w:hAnsi="Times"/>
          <w:sz w:val="20"/>
          <w:szCs w:val="20"/>
        </w:rPr>
        <w:t>, a contrast to the 1477 version with its tight focus on the Old World. This post-Columbian edition is remarkable for its new sense that the Atlantic Ocean led outward, around Africa to the Indian Ocean, and to the west, toward the newfound lands and then beyond, a new route to the Orient. Information about the Atlantic was becoming part of public knowledge within Europe, as well as in the Near East and, eventually, Asia.</w:t>
      </w:r>
      <w:r>
        <w:rPr>
          <w:rFonts w:ascii="Times" w:hAnsi="Times"/>
          <w:position w:val="6"/>
          <w:sz w:val="12"/>
          <w:szCs w:val="12"/>
        </w:rPr>
        <w:t xml:space="preserve">8 </w:t>
      </w:r>
    </w:p>
    <w:p w14:paraId="1B5418DD" w14:textId="77777777" w:rsidR="00695A98" w:rsidRDefault="00695A98" w:rsidP="00695A98">
      <w:pPr>
        <w:pStyle w:val="NormalWeb"/>
      </w:pPr>
      <w:r>
        <w:rPr>
          <w:rFonts w:ascii="Times" w:hAnsi="Times"/>
          <w:sz w:val="20"/>
          <w:szCs w:val="20"/>
        </w:rPr>
        <w:t xml:space="preserve">The publication of such knowledge was nevertheless often contested. Sailors were eager to keep some secrets to themselves—European monarchs may have commanded American soil, but the seas necessary to maintain that command remained under a remarkably plebeian control. Moreover, Europeans split into competing national groups in order to exploit the </w:t>
      </w:r>
      <w:proofErr w:type="spellStart"/>
      <w:r>
        <w:rPr>
          <w:rFonts w:ascii="Times" w:hAnsi="Times"/>
          <w:sz w:val="20"/>
          <w:szCs w:val="20"/>
        </w:rPr>
        <w:t>dif</w:t>
      </w:r>
      <w:proofErr w:type="spellEnd"/>
      <w:r>
        <w:rPr>
          <w:rFonts w:ascii="Times" w:hAnsi="Times"/>
          <w:sz w:val="20"/>
          <w:szCs w:val="20"/>
        </w:rPr>
        <w:t xml:space="preserve">- </w:t>
      </w:r>
      <w:proofErr w:type="spellStart"/>
      <w:r>
        <w:rPr>
          <w:rFonts w:ascii="Times" w:hAnsi="Times"/>
          <w:sz w:val="20"/>
          <w:szCs w:val="20"/>
        </w:rPr>
        <w:t>ferent</w:t>
      </w:r>
      <w:proofErr w:type="spellEnd"/>
      <w:r>
        <w:rPr>
          <w:rFonts w:ascii="Times" w:hAnsi="Times"/>
          <w:sz w:val="20"/>
          <w:szCs w:val="20"/>
        </w:rPr>
        <w:t xml:space="preserve"> parts of the Americas to which they sailed, and their rulers often regarded information about watering stations, fishing or whaling </w:t>
      </w:r>
      <w:proofErr w:type="spellStart"/>
      <w:r>
        <w:rPr>
          <w:rFonts w:ascii="Times" w:hAnsi="Times"/>
          <w:sz w:val="20"/>
          <w:szCs w:val="20"/>
        </w:rPr>
        <w:t>opportuni</w:t>
      </w:r>
      <w:proofErr w:type="spellEnd"/>
      <w:r>
        <w:rPr>
          <w:rFonts w:ascii="Times" w:hAnsi="Times"/>
          <w:sz w:val="20"/>
          <w:szCs w:val="20"/>
        </w:rPr>
        <w:t xml:space="preserve">- ties, trade winds, and ocean currents as proprietary. Separatist conceptions of the Atlantic survived into the eighteenth century. It was quite common, for example, for European maps to label parts of oceans in terms of their geographic location, rather than use single names for entire oceans, as we now do. </w:t>
      </w:r>
      <w:proofErr w:type="gramStart"/>
      <w:r>
        <w:rPr>
          <w:rFonts w:ascii="Times" w:hAnsi="Times"/>
          <w:sz w:val="20"/>
          <w:szCs w:val="20"/>
        </w:rPr>
        <w:t>Thus</w:t>
      </w:r>
      <w:proofErr w:type="gramEnd"/>
      <w:r>
        <w:rPr>
          <w:rFonts w:ascii="Times" w:hAnsi="Times"/>
          <w:sz w:val="20"/>
          <w:szCs w:val="20"/>
        </w:rPr>
        <w:t xml:space="preserve"> the English named what we could call the North Atlantic for its position relative either from them or from the European continent: West- ern Ocean or North Sea. As Ian Kenneth Steele has pointed out, the </w:t>
      </w:r>
      <w:proofErr w:type="spellStart"/>
      <w:r>
        <w:rPr>
          <w:rFonts w:ascii="Times" w:hAnsi="Times"/>
          <w:sz w:val="20"/>
          <w:szCs w:val="20"/>
        </w:rPr>
        <w:t>designa</w:t>
      </w:r>
      <w:proofErr w:type="spellEnd"/>
      <w:r>
        <w:rPr>
          <w:rFonts w:ascii="Times" w:hAnsi="Times"/>
          <w:sz w:val="20"/>
          <w:szCs w:val="20"/>
        </w:rPr>
        <w:t xml:space="preserve">- </w:t>
      </w:r>
      <w:proofErr w:type="spellStart"/>
      <w:r>
        <w:rPr>
          <w:rFonts w:ascii="Times" w:hAnsi="Times"/>
          <w:sz w:val="20"/>
          <w:szCs w:val="20"/>
        </w:rPr>
        <w:t>tion</w:t>
      </w:r>
      <w:proofErr w:type="spellEnd"/>
      <w:r>
        <w:rPr>
          <w:rFonts w:ascii="Times" w:hAnsi="Times"/>
          <w:sz w:val="20"/>
          <w:szCs w:val="20"/>
        </w:rPr>
        <w:t xml:space="preserve"> “North Sea” particularly undermined any sense of a greater Atlantic; the English considered what we call the South Atlantic an ocean unto itself, usually called the Ethiopian Sea.</w:t>
      </w:r>
      <w:r>
        <w:rPr>
          <w:rFonts w:ascii="Times" w:hAnsi="Times"/>
          <w:position w:val="6"/>
          <w:sz w:val="12"/>
          <w:szCs w:val="12"/>
        </w:rPr>
        <w:t xml:space="preserve">9 </w:t>
      </w:r>
    </w:p>
    <w:p w14:paraId="044A9FCB" w14:textId="77777777" w:rsidR="00695A98" w:rsidRDefault="00695A98" w:rsidP="00695A98">
      <w:pPr>
        <w:pStyle w:val="NormalWeb"/>
      </w:pPr>
      <w:r>
        <w:rPr>
          <w:rFonts w:ascii="Times" w:hAnsi="Times"/>
          <w:sz w:val="20"/>
          <w:szCs w:val="20"/>
        </w:rPr>
        <w:t xml:space="preserve">If Columbus threw a line across the Atlantic, thousands of his successors knit a web of permanent ties over and around the ocean and, in the process, made significant discoveries about the physical nature of the Earth and its seas. Those tasks mobilized people from every part of the Atlantic and at every social or political level. Eventually, Native Americans, ordinary sailors, </w:t>
      </w:r>
      <w:proofErr w:type="spellStart"/>
      <w:r>
        <w:rPr>
          <w:rFonts w:ascii="Times" w:hAnsi="Times"/>
          <w:sz w:val="20"/>
          <w:szCs w:val="20"/>
        </w:rPr>
        <w:t>fel</w:t>
      </w:r>
      <w:proofErr w:type="spellEnd"/>
      <w:r>
        <w:rPr>
          <w:rFonts w:ascii="Times" w:hAnsi="Times"/>
          <w:sz w:val="20"/>
          <w:szCs w:val="20"/>
        </w:rPr>
        <w:t xml:space="preserve">- lows of Europe’s learned societies, as well as political or military leaders, would all make contributions. If crossing the Atlantic had been an over- </w:t>
      </w:r>
      <w:proofErr w:type="spellStart"/>
      <w:r>
        <w:rPr>
          <w:rFonts w:ascii="Times" w:hAnsi="Times"/>
          <w:sz w:val="20"/>
          <w:szCs w:val="20"/>
        </w:rPr>
        <w:t>whelmingly</w:t>
      </w:r>
      <w:proofErr w:type="spellEnd"/>
      <w:r>
        <w:rPr>
          <w:rFonts w:ascii="Times" w:hAnsi="Times"/>
          <w:sz w:val="20"/>
          <w:szCs w:val="20"/>
        </w:rPr>
        <w:t xml:space="preserve"> European or even imperial story, conceiving of that ocean as a network of places and natural forces involved a far wider range of actors. </w:t>
      </w:r>
    </w:p>
    <w:p w14:paraId="3DE0E97E" w14:textId="77777777" w:rsidR="00695A98" w:rsidRDefault="00695A98" w:rsidP="00695A98">
      <w:pPr>
        <w:pStyle w:val="NormalWeb"/>
      </w:pPr>
      <w:r>
        <w:rPr>
          <w:rFonts w:ascii="Times" w:hAnsi="Times"/>
          <w:sz w:val="20"/>
          <w:szCs w:val="20"/>
        </w:rPr>
        <w:t xml:space="preserve">Europeans quickly realized that Native American advice on geography and navigation would be invaluable. When he arrived in the Caribbean, </w:t>
      </w:r>
    </w:p>
    <w:p w14:paraId="53B96D7B" w14:textId="77777777" w:rsidR="00695A98" w:rsidRDefault="00695A98" w:rsidP="00695A98">
      <w:pPr>
        <w:pStyle w:val="NormalWeb"/>
      </w:pPr>
      <w:r>
        <w:rPr>
          <w:rFonts w:ascii="Times" w:hAnsi="Times"/>
          <w:sz w:val="20"/>
          <w:szCs w:val="20"/>
        </w:rPr>
        <w:t xml:space="preserve">Columbus asked the people he encountered for information about neigh- boring islands. That strategy continued in a variety of American locales; the Spanish used native pilots to explore the Gulf Coast, just as the English consulted New England’s natives about the configuration of their coastline. And native men were so quickly integrated into European maritime </w:t>
      </w:r>
      <w:proofErr w:type="spellStart"/>
      <w:r>
        <w:rPr>
          <w:rFonts w:ascii="Times" w:hAnsi="Times"/>
          <w:sz w:val="20"/>
          <w:szCs w:val="20"/>
        </w:rPr>
        <w:t>cul</w:t>
      </w:r>
      <w:proofErr w:type="spellEnd"/>
      <w:r>
        <w:rPr>
          <w:rFonts w:ascii="Times" w:hAnsi="Times"/>
          <w:sz w:val="20"/>
          <w:szCs w:val="20"/>
        </w:rPr>
        <w:t xml:space="preserve">- </w:t>
      </w:r>
      <w:proofErr w:type="spellStart"/>
      <w:r>
        <w:rPr>
          <w:rFonts w:ascii="Times" w:hAnsi="Times"/>
          <w:sz w:val="20"/>
          <w:szCs w:val="20"/>
        </w:rPr>
        <w:t>ture</w:t>
      </w:r>
      <w:proofErr w:type="spellEnd"/>
      <w:r>
        <w:rPr>
          <w:rFonts w:ascii="Times" w:hAnsi="Times"/>
          <w:sz w:val="20"/>
          <w:szCs w:val="20"/>
        </w:rPr>
        <w:t xml:space="preserve"> that it is clear that Europeans and colonists found their expertise </w:t>
      </w:r>
      <w:proofErr w:type="spellStart"/>
      <w:r>
        <w:rPr>
          <w:rFonts w:ascii="Times" w:hAnsi="Times"/>
          <w:sz w:val="20"/>
          <w:szCs w:val="20"/>
        </w:rPr>
        <w:t>valu</w:t>
      </w:r>
      <w:proofErr w:type="spellEnd"/>
      <w:r>
        <w:rPr>
          <w:rFonts w:ascii="Times" w:hAnsi="Times"/>
          <w:sz w:val="20"/>
          <w:szCs w:val="20"/>
        </w:rPr>
        <w:t>- able. Such was the case with the native Indians of Nantucket, who were, as Daniel Vickers has pointed out, the first whale men on that island, and early workers in the whaling industry that American colonists established in the eighteenth century.</w:t>
      </w:r>
      <w:r>
        <w:rPr>
          <w:rFonts w:ascii="Times" w:hAnsi="Times"/>
          <w:position w:val="6"/>
          <w:sz w:val="12"/>
          <w:szCs w:val="12"/>
        </w:rPr>
        <w:t xml:space="preserve">10 </w:t>
      </w:r>
    </w:p>
    <w:p w14:paraId="0BA9DF34" w14:textId="77777777" w:rsidR="00695A98" w:rsidRDefault="00695A98" w:rsidP="00695A98">
      <w:pPr>
        <w:pStyle w:val="NormalWeb"/>
      </w:pPr>
      <w:r>
        <w:rPr>
          <w:rFonts w:ascii="Times" w:hAnsi="Times"/>
          <w:sz w:val="20"/>
          <w:szCs w:val="20"/>
        </w:rPr>
        <w:t xml:space="preserve">The Europeans who gathered information from native people, as well as from their own repeated experience with travel on the Atlantic, rapidly pub- </w:t>
      </w:r>
      <w:proofErr w:type="spellStart"/>
      <w:r>
        <w:rPr>
          <w:rFonts w:ascii="Times" w:hAnsi="Times"/>
          <w:sz w:val="20"/>
          <w:szCs w:val="20"/>
        </w:rPr>
        <w:t>licized</w:t>
      </w:r>
      <w:proofErr w:type="spellEnd"/>
      <w:r>
        <w:rPr>
          <w:rFonts w:ascii="Times" w:hAnsi="Times"/>
          <w:sz w:val="20"/>
          <w:szCs w:val="20"/>
        </w:rPr>
        <w:t xml:space="preserve"> their discoveries. From the sixteenth through the eighteenth century, printed sets of sailing directions, designed to send navigators from port to port, appeared in every European language: as Italian </w:t>
      </w:r>
      <w:proofErr w:type="spellStart"/>
      <w:r>
        <w:rPr>
          <w:rFonts w:ascii="Times" w:hAnsi="Times"/>
          <w:i/>
          <w:iCs/>
          <w:sz w:val="20"/>
          <w:szCs w:val="20"/>
        </w:rPr>
        <w:t>portolani</w:t>
      </w:r>
      <w:proofErr w:type="spellEnd"/>
      <w:r>
        <w:rPr>
          <w:rFonts w:ascii="Times" w:hAnsi="Times"/>
          <w:sz w:val="20"/>
          <w:szCs w:val="20"/>
        </w:rPr>
        <w:t xml:space="preserve">, German </w:t>
      </w:r>
      <w:proofErr w:type="spellStart"/>
      <w:r>
        <w:rPr>
          <w:rFonts w:ascii="Times" w:hAnsi="Times"/>
          <w:i/>
          <w:iCs/>
          <w:sz w:val="20"/>
          <w:szCs w:val="20"/>
        </w:rPr>
        <w:t>Seebücher</w:t>
      </w:r>
      <w:proofErr w:type="spellEnd"/>
      <w:r>
        <w:rPr>
          <w:rFonts w:ascii="Times" w:hAnsi="Times"/>
          <w:sz w:val="20"/>
          <w:szCs w:val="20"/>
        </w:rPr>
        <w:t xml:space="preserve">, Spanish </w:t>
      </w:r>
      <w:proofErr w:type="spellStart"/>
      <w:r>
        <w:rPr>
          <w:rFonts w:ascii="Times" w:hAnsi="Times"/>
          <w:i/>
          <w:iCs/>
          <w:sz w:val="20"/>
          <w:szCs w:val="20"/>
        </w:rPr>
        <w:t>derroteros</w:t>
      </w:r>
      <w:proofErr w:type="spellEnd"/>
      <w:r>
        <w:rPr>
          <w:rFonts w:ascii="Times" w:hAnsi="Times"/>
          <w:sz w:val="20"/>
          <w:szCs w:val="20"/>
        </w:rPr>
        <w:t xml:space="preserve">, Portuguese </w:t>
      </w:r>
      <w:proofErr w:type="spellStart"/>
      <w:r>
        <w:rPr>
          <w:rFonts w:ascii="Times" w:hAnsi="Times"/>
          <w:i/>
          <w:iCs/>
          <w:sz w:val="20"/>
          <w:szCs w:val="20"/>
        </w:rPr>
        <w:t>roteiros</w:t>
      </w:r>
      <w:proofErr w:type="spellEnd"/>
      <w:r>
        <w:rPr>
          <w:rFonts w:ascii="Times" w:hAnsi="Times"/>
          <w:sz w:val="20"/>
          <w:szCs w:val="20"/>
        </w:rPr>
        <w:t xml:space="preserve">, and English or Dutch </w:t>
      </w:r>
      <w:r>
        <w:rPr>
          <w:rFonts w:ascii="Times" w:hAnsi="Times"/>
          <w:i/>
          <w:iCs/>
          <w:sz w:val="20"/>
          <w:szCs w:val="20"/>
        </w:rPr>
        <w:t>rutters</w:t>
      </w:r>
      <w:r>
        <w:rPr>
          <w:rFonts w:ascii="Times" w:hAnsi="Times"/>
          <w:sz w:val="20"/>
          <w:szCs w:val="20"/>
        </w:rPr>
        <w:t xml:space="preserve">. Such guides might be specialized, as when they focused on a sec- </w:t>
      </w:r>
      <w:proofErr w:type="spellStart"/>
      <w:r>
        <w:rPr>
          <w:rFonts w:ascii="Times" w:hAnsi="Times"/>
          <w:sz w:val="20"/>
          <w:szCs w:val="20"/>
        </w:rPr>
        <w:t>tion</w:t>
      </w:r>
      <w:proofErr w:type="spellEnd"/>
      <w:r>
        <w:rPr>
          <w:rFonts w:ascii="Times" w:hAnsi="Times"/>
          <w:sz w:val="20"/>
          <w:szCs w:val="20"/>
        </w:rPr>
        <w:t xml:space="preserve"> of Atlantic coastline, often that of a particular nation or of its </w:t>
      </w:r>
      <w:proofErr w:type="spellStart"/>
      <w:r>
        <w:rPr>
          <w:rFonts w:ascii="Times" w:hAnsi="Times"/>
          <w:sz w:val="20"/>
          <w:szCs w:val="20"/>
        </w:rPr>
        <w:t>colo</w:t>
      </w:r>
      <w:proofErr w:type="spellEnd"/>
      <w:r>
        <w:rPr>
          <w:rFonts w:ascii="Times" w:hAnsi="Times"/>
          <w:sz w:val="20"/>
          <w:szCs w:val="20"/>
        </w:rPr>
        <w:t xml:space="preserve">- </w:t>
      </w:r>
      <w:proofErr w:type="spellStart"/>
      <w:r>
        <w:rPr>
          <w:rFonts w:ascii="Times" w:hAnsi="Times"/>
          <w:sz w:val="20"/>
          <w:szCs w:val="20"/>
        </w:rPr>
        <w:t>nies</w:t>
      </w:r>
      <w:proofErr w:type="spellEnd"/>
      <w:r>
        <w:rPr>
          <w:rFonts w:ascii="Times" w:hAnsi="Times"/>
          <w:sz w:val="20"/>
          <w:szCs w:val="20"/>
        </w:rPr>
        <w:t xml:space="preserve"> in the Americas. More ambitious guides might specify certain routes between an imperial power and its far-flung colonies. Dutch sea atlases, often called “waggoners,” after the very successful pilot books of Lucas </w:t>
      </w:r>
      <w:proofErr w:type="spellStart"/>
      <w:r>
        <w:rPr>
          <w:rFonts w:ascii="Times" w:hAnsi="Times"/>
          <w:sz w:val="20"/>
          <w:szCs w:val="20"/>
        </w:rPr>
        <w:t>Janszoon</w:t>
      </w:r>
      <w:proofErr w:type="spellEnd"/>
      <w:r>
        <w:rPr>
          <w:rFonts w:ascii="Times" w:hAnsi="Times"/>
          <w:sz w:val="20"/>
          <w:szCs w:val="20"/>
        </w:rPr>
        <w:t xml:space="preserve"> </w:t>
      </w:r>
      <w:proofErr w:type="spellStart"/>
      <w:r>
        <w:rPr>
          <w:rFonts w:ascii="Times" w:hAnsi="Times"/>
          <w:sz w:val="20"/>
          <w:szCs w:val="20"/>
        </w:rPr>
        <w:t>Waghenaer</w:t>
      </w:r>
      <w:proofErr w:type="spellEnd"/>
      <w:r>
        <w:rPr>
          <w:rFonts w:ascii="Times" w:hAnsi="Times"/>
          <w:sz w:val="20"/>
          <w:szCs w:val="20"/>
        </w:rPr>
        <w:t xml:space="preserve">, published comprehensive sea charts (which showed the way to a place) </w:t>
      </w:r>
      <w:r>
        <w:rPr>
          <w:rFonts w:ascii="Times" w:hAnsi="Times"/>
          <w:sz w:val="20"/>
          <w:szCs w:val="20"/>
        </w:rPr>
        <w:lastRenderedPageBreak/>
        <w:t xml:space="preserve">accompanied by coastal views (which signaled arrival at a place—preferably before running into it), which together made </w:t>
      </w:r>
      <w:proofErr w:type="spellStart"/>
      <w:r>
        <w:rPr>
          <w:rFonts w:ascii="Times" w:hAnsi="Times"/>
          <w:sz w:val="20"/>
          <w:szCs w:val="20"/>
        </w:rPr>
        <w:t>naviga</w:t>
      </w:r>
      <w:proofErr w:type="spellEnd"/>
      <w:r>
        <w:rPr>
          <w:rFonts w:ascii="Times" w:hAnsi="Times"/>
          <w:sz w:val="20"/>
          <w:szCs w:val="20"/>
        </w:rPr>
        <w:t xml:space="preserve">- </w:t>
      </w:r>
      <w:proofErr w:type="spellStart"/>
      <w:r>
        <w:rPr>
          <w:rFonts w:ascii="Times" w:hAnsi="Times"/>
          <w:sz w:val="20"/>
          <w:szCs w:val="20"/>
        </w:rPr>
        <w:t>tion</w:t>
      </w:r>
      <w:proofErr w:type="spellEnd"/>
      <w:r>
        <w:rPr>
          <w:rFonts w:ascii="Times" w:hAnsi="Times"/>
          <w:sz w:val="20"/>
          <w:szCs w:val="20"/>
        </w:rPr>
        <w:t xml:space="preserve"> safer. Other cartographers followed suit, often emphasizing the national identity of their publications, as with the many editions of </w:t>
      </w:r>
      <w:r>
        <w:rPr>
          <w:rFonts w:ascii="Times" w:hAnsi="Times"/>
          <w:i/>
          <w:iCs/>
          <w:sz w:val="20"/>
          <w:szCs w:val="20"/>
        </w:rPr>
        <w:t>The English Pilot</w:t>
      </w:r>
      <w:r>
        <w:rPr>
          <w:rFonts w:ascii="Times" w:hAnsi="Times"/>
          <w:sz w:val="20"/>
          <w:szCs w:val="20"/>
        </w:rPr>
        <w:t>, first published in 1671 and republished in more than 111 editions over the next 133 years.</w:t>
      </w:r>
      <w:r>
        <w:rPr>
          <w:rFonts w:ascii="Times" w:hAnsi="Times"/>
          <w:position w:val="6"/>
          <w:sz w:val="12"/>
          <w:szCs w:val="12"/>
        </w:rPr>
        <w:t xml:space="preserve">11 </w:t>
      </w:r>
    </w:p>
    <w:p w14:paraId="0EE4875D" w14:textId="77777777" w:rsidR="00695A98" w:rsidRDefault="00695A98" w:rsidP="00695A98">
      <w:pPr>
        <w:pStyle w:val="NormalWeb"/>
      </w:pPr>
      <w:r>
        <w:rPr>
          <w:rFonts w:ascii="Times" w:hAnsi="Times"/>
          <w:sz w:val="20"/>
          <w:szCs w:val="20"/>
        </w:rPr>
        <w:t xml:space="preserve">These many guides made possible something amazing: getting from one part of the Atlantic to another became an everyday occurrence. As time went on, more things and people moved around the ocean; raw </w:t>
      </w:r>
      <w:proofErr w:type="spellStart"/>
      <w:r>
        <w:rPr>
          <w:rFonts w:ascii="Times" w:hAnsi="Times"/>
          <w:sz w:val="20"/>
          <w:szCs w:val="20"/>
        </w:rPr>
        <w:t>commodi</w:t>
      </w:r>
      <w:proofErr w:type="spellEnd"/>
      <w:r>
        <w:rPr>
          <w:rFonts w:ascii="Times" w:hAnsi="Times"/>
          <w:sz w:val="20"/>
          <w:szCs w:val="20"/>
        </w:rPr>
        <w:t xml:space="preserve">- ties, manufactured goods, curiosities, scientific specimens, books, and </w:t>
      </w:r>
      <w:proofErr w:type="spellStart"/>
      <w:r>
        <w:rPr>
          <w:rFonts w:ascii="Times" w:hAnsi="Times"/>
          <w:sz w:val="20"/>
          <w:szCs w:val="20"/>
        </w:rPr>
        <w:t>cor</w:t>
      </w:r>
      <w:proofErr w:type="spellEnd"/>
      <w:r>
        <w:rPr>
          <w:rFonts w:ascii="Times" w:hAnsi="Times"/>
          <w:sz w:val="20"/>
          <w:szCs w:val="20"/>
        </w:rPr>
        <w:t xml:space="preserve">- respondence would all proliferate, so that contact with something from a faraway place became an everyday experience. Even those who did not </w:t>
      </w:r>
      <w:proofErr w:type="spellStart"/>
      <w:r>
        <w:rPr>
          <w:rFonts w:ascii="Times" w:hAnsi="Times"/>
          <w:sz w:val="20"/>
          <w:szCs w:val="20"/>
        </w:rPr>
        <w:t>ven</w:t>
      </w:r>
      <w:proofErr w:type="spellEnd"/>
      <w:r>
        <w:rPr>
          <w:rFonts w:ascii="Times" w:hAnsi="Times"/>
          <w:sz w:val="20"/>
          <w:szCs w:val="20"/>
        </w:rPr>
        <w:t xml:space="preserve">- </w:t>
      </w:r>
      <w:proofErr w:type="spellStart"/>
      <w:r>
        <w:rPr>
          <w:rFonts w:ascii="Times" w:hAnsi="Times"/>
          <w:sz w:val="20"/>
          <w:szCs w:val="20"/>
        </w:rPr>
        <w:t>ture</w:t>
      </w:r>
      <w:proofErr w:type="spellEnd"/>
      <w:r>
        <w:rPr>
          <w:rFonts w:ascii="Times" w:hAnsi="Times"/>
          <w:sz w:val="20"/>
          <w:szCs w:val="20"/>
        </w:rPr>
        <w:t xml:space="preserve"> upon the ocean could, if they were literate, read about Atlantic </w:t>
      </w:r>
      <w:proofErr w:type="spellStart"/>
      <w:r>
        <w:rPr>
          <w:rFonts w:ascii="Times" w:hAnsi="Times"/>
          <w:sz w:val="20"/>
          <w:szCs w:val="20"/>
        </w:rPr>
        <w:t>experi</w:t>
      </w:r>
      <w:proofErr w:type="spellEnd"/>
      <w:r>
        <w:rPr>
          <w:rFonts w:ascii="Times" w:hAnsi="Times"/>
          <w:sz w:val="20"/>
          <w:szCs w:val="20"/>
        </w:rPr>
        <w:t xml:space="preserve">- </w:t>
      </w:r>
      <w:proofErr w:type="spellStart"/>
      <w:r>
        <w:rPr>
          <w:rFonts w:ascii="Times" w:hAnsi="Times"/>
          <w:sz w:val="20"/>
          <w:szCs w:val="20"/>
        </w:rPr>
        <w:t>ences</w:t>
      </w:r>
      <w:proofErr w:type="spellEnd"/>
      <w:r>
        <w:rPr>
          <w:rFonts w:ascii="Times" w:hAnsi="Times"/>
          <w:sz w:val="20"/>
          <w:szCs w:val="20"/>
        </w:rPr>
        <w:t xml:space="preserve">. Newspapers throughout the Atlantic world advertised the arrival of commodities produced elsewhere around the ocean and made news out of a colorful array of maritime incidents, from naval victories to shipwrecks. Novelists likewise used the Atlantic as a stage of action; both Daniel Defoe’s </w:t>
      </w:r>
      <w:r>
        <w:rPr>
          <w:rFonts w:ascii="Times" w:hAnsi="Times"/>
          <w:i/>
          <w:iCs/>
          <w:sz w:val="20"/>
          <w:szCs w:val="20"/>
        </w:rPr>
        <w:t xml:space="preserve">Robinson Crusoe </w:t>
      </w:r>
      <w:r>
        <w:rPr>
          <w:rFonts w:ascii="Times" w:hAnsi="Times"/>
          <w:sz w:val="20"/>
          <w:szCs w:val="20"/>
        </w:rPr>
        <w:t xml:space="preserve">(1719) and Tobias Smollett’s </w:t>
      </w:r>
      <w:r>
        <w:rPr>
          <w:rFonts w:ascii="Times" w:hAnsi="Times"/>
          <w:i/>
          <w:iCs/>
          <w:sz w:val="20"/>
          <w:szCs w:val="20"/>
        </w:rPr>
        <w:t xml:space="preserve">The Adventures of Roderick </w:t>
      </w:r>
    </w:p>
    <w:p w14:paraId="5008136F" w14:textId="77777777" w:rsidR="00695A98" w:rsidRDefault="00695A98" w:rsidP="00695A98">
      <w:pPr>
        <w:pStyle w:val="NormalWeb"/>
      </w:pPr>
      <w:r>
        <w:rPr>
          <w:rFonts w:ascii="Times" w:hAnsi="Times"/>
          <w:i/>
          <w:iCs/>
          <w:sz w:val="20"/>
          <w:szCs w:val="20"/>
        </w:rPr>
        <w:t xml:space="preserve">Random </w:t>
      </w:r>
      <w:r>
        <w:rPr>
          <w:rFonts w:ascii="Times" w:hAnsi="Times"/>
          <w:sz w:val="20"/>
          <w:szCs w:val="20"/>
        </w:rPr>
        <w:t xml:space="preserve">(1748) feature heroes whose ill fortune culminates in their ill-fated adventures at sea. </w:t>
      </w:r>
    </w:p>
    <w:p w14:paraId="60DE670F" w14:textId="77777777" w:rsidR="00695A98" w:rsidRDefault="00695A98" w:rsidP="00695A98">
      <w:pPr>
        <w:pStyle w:val="NormalWeb"/>
      </w:pPr>
      <w:r>
        <w:rPr>
          <w:rFonts w:ascii="Times" w:hAnsi="Times"/>
          <w:sz w:val="20"/>
          <w:szCs w:val="20"/>
        </w:rPr>
        <w:t xml:space="preserve">Nothing makes the development of an everyday Atlantic clearer than the horrifying increase, over time, in the Atlantic slave trade. From scattered shipments of Africans in the sixteenth century, the trade gradually expanded over the seventeenth century and became an important economic mainstay of the plantation systems emerging in the different European colonies. Yet it was the eighteenth century that was the heyday of the slave trade. More captives were shipped out of Africa, and they were shipped to more places, including Europe and the colonies in temperate zones. The ease with which people and things could be sent around the Atlantic Ocean in the eighteenth century was apparent to anyone who was sold as a slave or who tasted sugar. The routine barbarities of Atlantic slavery form the pivot of Voltaire’s satire </w:t>
      </w:r>
      <w:r>
        <w:rPr>
          <w:rFonts w:ascii="Times" w:hAnsi="Times"/>
          <w:i/>
          <w:iCs/>
          <w:sz w:val="20"/>
          <w:szCs w:val="20"/>
        </w:rPr>
        <w:t xml:space="preserve">Candide </w:t>
      </w:r>
      <w:r>
        <w:rPr>
          <w:rFonts w:ascii="Times" w:hAnsi="Times"/>
          <w:sz w:val="20"/>
          <w:szCs w:val="20"/>
        </w:rPr>
        <w:t>(1759), in which the protagonist’s characteristic optimism is at last confounded after he crosses the Atlantic and encounters a black slave hideously maimed through labor at a sugar mill in Surinam.</w:t>
      </w:r>
      <w:r>
        <w:rPr>
          <w:rFonts w:ascii="Times" w:hAnsi="Times"/>
          <w:position w:val="6"/>
          <w:sz w:val="12"/>
          <w:szCs w:val="12"/>
        </w:rPr>
        <w:t xml:space="preserve">12 </w:t>
      </w:r>
    </w:p>
    <w:p w14:paraId="4F248D34" w14:textId="77777777" w:rsidR="00695A98" w:rsidRDefault="00695A98" w:rsidP="00695A98">
      <w:pPr>
        <w:pStyle w:val="NormalWeb"/>
      </w:pPr>
      <w:r>
        <w:rPr>
          <w:rFonts w:ascii="Times" w:hAnsi="Times"/>
          <w:sz w:val="20"/>
          <w:szCs w:val="20"/>
        </w:rPr>
        <w:t xml:space="preserve">The tragic correlation between enslavement and the growth of an Atlantic world is only slightly offset by the fact that free black men entered the ranks of Atlantic mariners. Africans themselves had not ventured far out into the Atlantic, but did so once they were swept up into the slave trade. Their ironic presence as maritime workers on the very ocean that had </w:t>
      </w:r>
      <w:proofErr w:type="spellStart"/>
      <w:r>
        <w:rPr>
          <w:rFonts w:ascii="Times" w:hAnsi="Times"/>
          <w:sz w:val="20"/>
          <w:szCs w:val="20"/>
        </w:rPr>
        <w:t>deliv</w:t>
      </w:r>
      <w:proofErr w:type="spellEnd"/>
      <w:r>
        <w:rPr>
          <w:rFonts w:ascii="Times" w:hAnsi="Times"/>
          <w:sz w:val="20"/>
          <w:szCs w:val="20"/>
        </w:rPr>
        <w:t xml:space="preserve">- </w:t>
      </w:r>
      <w:proofErr w:type="spellStart"/>
      <w:r>
        <w:rPr>
          <w:rFonts w:ascii="Times" w:hAnsi="Times"/>
          <w:sz w:val="20"/>
          <w:szCs w:val="20"/>
        </w:rPr>
        <w:t>ered</w:t>
      </w:r>
      <w:proofErr w:type="spellEnd"/>
      <w:r>
        <w:rPr>
          <w:rFonts w:ascii="Times" w:hAnsi="Times"/>
          <w:sz w:val="20"/>
          <w:szCs w:val="20"/>
        </w:rPr>
        <w:t xml:space="preserve"> them or their ancestors into bondage is apparent in one of the best eighteenth-century sea paintings, John Singleton Copley’s “Watson and the Shark” (1778). There, a sailor-laden boat and a swimming Brook Watson float in Havana Harbor. The swimmer and the boat’s crew are English and are in Cuba (the year is 1749) because the British had recently regained the </w:t>
      </w:r>
      <w:r>
        <w:rPr>
          <w:rFonts w:ascii="Times" w:hAnsi="Times"/>
          <w:i/>
          <w:iCs/>
          <w:sz w:val="20"/>
          <w:szCs w:val="20"/>
        </w:rPr>
        <w:t>asiento de negros</w:t>
      </w:r>
      <w:r>
        <w:rPr>
          <w:rFonts w:ascii="Times" w:hAnsi="Times"/>
          <w:sz w:val="20"/>
          <w:szCs w:val="20"/>
        </w:rPr>
        <w:t>, the legal contract to supply the Spanish colonies with African slaves. The title characters of the painting have already met: the shark has taken two chunks out of Watson’s right leg. As the beast returns for another nibble, the other men are poised to harpoon it and to haul Watson aboard. The incident really happened, and the real Watson lived to stump about on a prosthetic leg. But the picture only hints at his deliverance—so far, the impending attack is merely balanced, not canceled, by the dramatic efforts of the rescuers. Likewise, a sailor of African descent, who dominates the physical center of the painting, embodies the uncertain energies of the maritime Atlantic. Is he a free man? Or is he a slave? Either way, what might he have thought of the commercial opportunities that Cuba offered as the Atlantic slave trade expanded and became ever more routine?</w:t>
      </w:r>
      <w:r>
        <w:rPr>
          <w:rFonts w:ascii="Times" w:hAnsi="Times"/>
          <w:position w:val="6"/>
          <w:sz w:val="12"/>
          <w:szCs w:val="12"/>
        </w:rPr>
        <w:t xml:space="preserve">13 </w:t>
      </w:r>
    </w:p>
    <w:p w14:paraId="7AFD2597" w14:textId="7FC578BA" w:rsidR="00695A98" w:rsidRDefault="00695A98" w:rsidP="00695A98">
      <w:pPr>
        <w:pStyle w:val="NormalWeb"/>
      </w:pPr>
      <w:r>
        <w:rPr>
          <w:rFonts w:ascii="Times" w:hAnsi="Times"/>
          <w:sz w:val="20"/>
          <w:szCs w:val="20"/>
        </w:rPr>
        <w:t xml:space="preserve">Who created this world of everyday Atlantic travel? The European states that controlled American empires were sometimes involved, though not always. Printers produced pilot books as independent, commercial ventures, though some European states often encouraged such productions, whether discreetly or overtly. The rulers of Spain and Portugal had, respectively, established the Casa de la </w:t>
      </w:r>
      <w:proofErr w:type="spellStart"/>
      <w:r>
        <w:rPr>
          <w:rFonts w:ascii="Times" w:hAnsi="Times"/>
          <w:sz w:val="20"/>
          <w:szCs w:val="20"/>
        </w:rPr>
        <w:t>Contratación</w:t>
      </w:r>
      <w:proofErr w:type="spellEnd"/>
      <w:r>
        <w:rPr>
          <w:rFonts w:ascii="Times" w:hAnsi="Times"/>
          <w:sz w:val="20"/>
          <w:szCs w:val="20"/>
        </w:rPr>
        <w:t xml:space="preserve"> in Seville and the Casa da India at Lisbon, each of which solicited or sponsored improvements in navigational techniques and routes. (There was not always agreement, let alone coop- </w:t>
      </w:r>
      <w:proofErr w:type="spellStart"/>
      <w:r>
        <w:rPr>
          <w:rFonts w:ascii="Times" w:hAnsi="Times"/>
          <w:sz w:val="20"/>
          <w:szCs w:val="20"/>
        </w:rPr>
        <w:t>eration</w:t>
      </w:r>
      <w:proofErr w:type="spellEnd"/>
      <w:r>
        <w:rPr>
          <w:rFonts w:ascii="Times" w:hAnsi="Times"/>
          <w:sz w:val="20"/>
          <w:szCs w:val="20"/>
        </w:rPr>
        <w:t xml:space="preserve">, between navigational theorists and actual sailors, however.) The Spanish and Portuguese lavished attention on the South Atlantic routes that held their empires together; these southerly routes were especially important for the silver fleets that conveyed New World treasure back to Spain, and for the traffic in African slaves and sugar. The North Atlantic remained com- </w:t>
      </w:r>
      <w:proofErr w:type="spellStart"/>
      <w:r>
        <w:rPr>
          <w:rFonts w:ascii="Times" w:hAnsi="Times"/>
          <w:sz w:val="20"/>
          <w:szCs w:val="20"/>
        </w:rPr>
        <w:t>paratively</w:t>
      </w:r>
      <w:proofErr w:type="spellEnd"/>
      <w:r>
        <w:rPr>
          <w:rFonts w:ascii="Times" w:hAnsi="Times"/>
          <w:sz w:val="20"/>
          <w:szCs w:val="20"/>
        </w:rPr>
        <w:t xml:space="preserve"> less studied, for the simple reason that England (later Britain), the nation which sent the most colonists to North America, did not have the official agencies to gather and circulate information about navigation that Spain and Portugal did, a fact that Englishmen interested in colonization of the Americas steadily lamented.</w:t>
      </w:r>
      <w:r>
        <w:rPr>
          <w:rFonts w:ascii="Times" w:hAnsi="Times"/>
          <w:position w:val="6"/>
          <w:sz w:val="12"/>
          <w:szCs w:val="12"/>
        </w:rPr>
        <w:t xml:space="preserve">14 </w:t>
      </w:r>
    </w:p>
    <w:p w14:paraId="5C98131B" w14:textId="77777777" w:rsidR="00695A98" w:rsidRDefault="00695A98" w:rsidP="00695A98">
      <w:pPr>
        <w:pStyle w:val="NormalWeb"/>
      </w:pPr>
      <w:r>
        <w:rPr>
          <w:rFonts w:ascii="Times" w:hAnsi="Times"/>
          <w:sz w:val="20"/>
          <w:szCs w:val="20"/>
        </w:rPr>
        <w:lastRenderedPageBreak/>
        <w:t xml:space="preserve">France’s rulers did follow the Iberian model. They established a special- </w:t>
      </w:r>
      <w:proofErr w:type="spellStart"/>
      <w:r>
        <w:rPr>
          <w:rFonts w:ascii="Times" w:hAnsi="Times"/>
          <w:sz w:val="20"/>
          <w:szCs w:val="20"/>
        </w:rPr>
        <w:t>ized</w:t>
      </w:r>
      <w:proofErr w:type="spellEnd"/>
      <w:r>
        <w:rPr>
          <w:rFonts w:ascii="Times" w:hAnsi="Times"/>
          <w:sz w:val="20"/>
          <w:szCs w:val="20"/>
        </w:rPr>
        <w:t xml:space="preserve"> Office of Hydrography that was fairly well integrated into the </w:t>
      </w:r>
      <w:proofErr w:type="spellStart"/>
      <w:r>
        <w:rPr>
          <w:rFonts w:ascii="Times" w:hAnsi="Times"/>
          <w:sz w:val="20"/>
          <w:szCs w:val="20"/>
        </w:rPr>
        <w:t>Académie</w:t>
      </w:r>
      <w:proofErr w:type="spellEnd"/>
      <w:r>
        <w:rPr>
          <w:rFonts w:ascii="Times" w:hAnsi="Times"/>
          <w:sz w:val="20"/>
          <w:szCs w:val="20"/>
        </w:rPr>
        <w:t xml:space="preserve"> Royale des Sciences. The French also sponsored voyages of exploration and cartographic projects. The French statesman Jean-Baptiste Colbert com- missioned an atlas of charts to survey the European coast from Gibraltar up to Norway. The resulting </w:t>
      </w:r>
      <w:r>
        <w:rPr>
          <w:rFonts w:ascii="Times" w:hAnsi="Times"/>
          <w:i/>
          <w:iCs/>
          <w:sz w:val="20"/>
          <w:szCs w:val="20"/>
        </w:rPr>
        <w:t xml:space="preserve">Le Neptune </w:t>
      </w:r>
      <w:proofErr w:type="spellStart"/>
      <w:r>
        <w:rPr>
          <w:rFonts w:ascii="Times" w:hAnsi="Times"/>
          <w:i/>
          <w:iCs/>
          <w:sz w:val="20"/>
          <w:szCs w:val="20"/>
        </w:rPr>
        <w:t>françois</w:t>
      </w:r>
      <w:proofErr w:type="spellEnd"/>
      <w:r>
        <w:rPr>
          <w:rFonts w:ascii="Times" w:hAnsi="Times"/>
          <w:i/>
          <w:iCs/>
          <w:sz w:val="20"/>
          <w:szCs w:val="20"/>
        </w:rPr>
        <w:t xml:space="preserve"> </w:t>
      </w:r>
      <w:r>
        <w:rPr>
          <w:rFonts w:ascii="Times" w:hAnsi="Times"/>
          <w:sz w:val="20"/>
          <w:szCs w:val="20"/>
        </w:rPr>
        <w:t xml:space="preserve">of 1693, a gorgeously decorative sea atlas, reflected quite </w:t>
      </w:r>
      <w:proofErr w:type="gramStart"/>
      <w:r>
        <w:rPr>
          <w:rFonts w:ascii="Times" w:hAnsi="Times"/>
          <w:sz w:val="20"/>
          <w:szCs w:val="20"/>
        </w:rPr>
        <w:t>well</w:t>
      </w:r>
      <w:proofErr w:type="gramEnd"/>
      <w:r>
        <w:rPr>
          <w:rFonts w:ascii="Times" w:hAnsi="Times"/>
          <w:sz w:val="20"/>
          <w:szCs w:val="20"/>
        </w:rPr>
        <w:t xml:space="preserve"> Louis XIV’s prodigious ambitions and set a new standard for hydrographical representations of the Atlantic as projects of national prestige.</w:t>
      </w:r>
      <w:r>
        <w:rPr>
          <w:rFonts w:ascii="Times" w:hAnsi="Times"/>
          <w:position w:val="6"/>
          <w:sz w:val="12"/>
          <w:szCs w:val="12"/>
        </w:rPr>
        <w:t xml:space="preserve">15 </w:t>
      </w:r>
    </w:p>
    <w:p w14:paraId="5121D962" w14:textId="77777777" w:rsidR="00695A98" w:rsidRDefault="00695A98" w:rsidP="00695A98">
      <w:pPr>
        <w:pStyle w:val="NormalWeb"/>
      </w:pPr>
      <w:r>
        <w:rPr>
          <w:rFonts w:ascii="Times" w:hAnsi="Times"/>
          <w:sz w:val="20"/>
          <w:szCs w:val="20"/>
        </w:rPr>
        <w:t xml:space="preserve">Other nations, including England and the Netherlands, did not have such an official sponsorship of maritime cartography. The Dutch nevertheless excelled in this area because they had a well-established community of commercial printers—the envy of other nations during the seventeenth </w:t>
      </w:r>
      <w:proofErr w:type="spellStart"/>
      <w:r>
        <w:rPr>
          <w:rFonts w:ascii="Times" w:hAnsi="Times"/>
          <w:sz w:val="20"/>
          <w:szCs w:val="20"/>
        </w:rPr>
        <w:t>cen</w:t>
      </w:r>
      <w:proofErr w:type="spellEnd"/>
      <w:r>
        <w:rPr>
          <w:rFonts w:ascii="Times" w:hAnsi="Times"/>
          <w:sz w:val="20"/>
          <w:szCs w:val="20"/>
        </w:rPr>
        <w:t xml:space="preserve">- </w:t>
      </w:r>
      <w:proofErr w:type="spellStart"/>
      <w:r>
        <w:rPr>
          <w:rFonts w:ascii="Times" w:hAnsi="Times"/>
          <w:sz w:val="20"/>
          <w:szCs w:val="20"/>
        </w:rPr>
        <w:t>tury</w:t>
      </w:r>
      <w:proofErr w:type="spellEnd"/>
      <w:r>
        <w:rPr>
          <w:rFonts w:ascii="Times" w:hAnsi="Times"/>
          <w:sz w:val="20"/>
          <w:szCs w:val="20"/>
        </w:rPr>
        <w:t xml:space="preserve">. Dutch cartographers published and reprinted navigational guides for other nations, as for the Spanish and French. Britain had a much weaker </w:t>
      </w:r>
      <w:proofErr w:type="spellStart"/>
      <w:r>
        <w:rPr>
          <w:rFonts w:ascii="Times" w:hAnsi="Times"/>
          <w:sz w:val="20"/>
          <w:szCs w:val="20"/>
        </w:rPr>
        <w:t>tra</w:t>
      </w:r>
      <w:proofErr w:type="spellEnd"/>
      <w:r>
        <w:rPr>
          <w:rFonts w:ascii="Times" w:hAnsi="Times"/>
          <w:sz w:val="20"/>
          <w:szCs w:val="20"/>
        </w:rPr>
        <w:t xml:space="preserve">- </w:t>
      </w:r>
      <w:proofErr w:type="spellStart"/>
      <w:r>
        <w:rPr>
          <w:rFonts w:ascii="Times" w:hAnsi="Times"/>
          <w:sz w:val="20"/>
          <w:szCs w:val="20"/>
        </w:rPr>
        <w:t>dition</w:t>
      </w:r>
      <w:proofErr w:type="spellEnd"/>
      <w:r>
        <w:rPr>
          <w:rFonts w:ascii="Times" w:hAnsi="Times"/>
          <w:sz w:val="20"/>
          <w:szCs w:val="20"/>
        </w:rPr>
        <w:t xml:space="preserve"> of marine cartography—it would not establish an Office of </w:t>
      </w:r>
      <w:proofErr w:type="spellStart"/>
      <w:r>
        <w:rPr>
          <w:rFonts w:ascii="Times" w:hAnsi="Times"/>
          <w:sz w:val="20"/>
          <w:szCs w:val="20"/>
        </w:rPr>
        <w:t>Hydrog</w:t>
      </w:r>
      <w:proofErr w:type="spellEnd"/>
      <w:r>
        <w:rPr>
          <w:rFonts w:ascii="Times" w:hAnsi="Times"/>
          <w:sz w:val="20"/>
          <w:szCs w:val="20"/>
        </w:rPr>
        <w:t xml:space="preserve">- </w:t>
      </w:r>
      <w:proofErr w:type="spellStart"/>
      <w:r>
        <w:rPr>
          <w:rFonts w:ascii="Times" w:hAnsi="Times"/>
          <w:sz w:val="20"/>
          <w:szCs w:val="20"/>
        </w:rPr>
        <w:t>raphy</w:t>
      </w:r>
      <w:proofErr w:type="spellEnd"/>
      <w:r>
        <w:rPr>
          <w:rFonts w:ascii="Times" w:hAnsi="Times"/>
          <w:sz w:val="20"/>
          <w:szCs w:val="20"/>
        </w:rPr>
        <w:t xml:space="preserve"> until 1795, when the Napoleonic Wars finally encouraged an official effort.</w:t>
      </w:r>
      <w:r>
        <w:rPr>
          <w:rFonts w:ascii="Times" w:hAnsi="Times"/>
          <w:position w:val="6"/>
          <w:sz w:val="12"/>
          <w:szCs w:val="12"/>
        </w:rPr>
        <w:t xml:space="preserve">16 </w:t>
      </w:r>
      <w:r>
        <w:rPr>
          <w:rFonts w:ascii="Times" w:hAnsi="Times"/>
          <w:sz w:val="20"/>
          <w:szCs w:val="20"/>
        </w:rPr>
        <w:t xml:space="preserve">Hence, published information about the North Atlantic would not develop as quickly as that for the southern part of the ocean. Yet the most innovative interpretations of the Atlantic Ocean that would be done during the long eighteenth century were done by the British, who had seemed to be lagging behind other Europeans in their focused interest in that ocean. </w:t>
      </w:r>
    </w:p>
    <w:p w14:paraId="646F5E95" w14:textId="55B566C3" w:rsidR="00695A98" w:rsidRDefault="00695A98" w:rsidP="00695A98">
      <w:pPr>
        <w:pStyle w:val="NormalWeb"/>
      </w:pPr>
      <w:r>
        <w:rPr>
          <w:rFonts w:ascii="Times" w:hAnsi="Times"/>
          <w:sz w:val="20"/>
          <w:szCs w:val="20"/>
        </w:rPr>
        <w:t xml:space="preserve">The British may have trailed behind other European nations in empire building and cartography, but they were, by the late seventeenth century, creating unprecedented naval power and scientific prowess. One result was that both British sailors and men of science studied the sea. A long line of fellows of the Royal Society of London examined maritime matters. Isaac Newton and Robert Boyle addressed questions about marine phenomena; Robert Hooke and Stephen Hales designed instruments to sample the </w:t>
      </w:r>
      <w:proofErr w:type="spellStart"/>
      <w:r>
        <w:rPr>
          <w:rFonts w:ascii="Times" w:hAnsi="Times"/>
          <w:sz w:val="20"/>
          <w:szCs w:val="20"/>
        </w:rPr>
        <w:t>tem</w:t>
      </w:r>
      <w:proofErr w:type="spellEnd"/>
      <w:r>
        <w:rPr>
          <w:rFonts w:ascii="Times" w:hAnsi="Times"/>
          <w:sz w:val="20"/>
          <w:szCs w:val="20"/>
        </w:rPr>
        <w:t xml:space="preserve">- </w:t>
      </w:r>
      <w:proofErr w:type="spellStart"/>
      <w:r>
        <w:rPr>
          <w:rFonts w:ascii="Times" w:hAnsi="Times"/>
          <w:sz w:val="20"/>
          <w:szCs w:val="20"/>
        </w:rPr>
        <w:t>perature</w:t>
      </w:r>
      <w:proofErr w:type="spellEnd"/>
      <w:r>
        <w:rPr>
          <w:rFonts w:ascii="Times" w:hAnsi="Times"/>
          <w:sz w:val="20"/>
          <w:szCs w:val="20"/>
        </w:rPr>
        <w:t xml:space="preserve"> and density of seawater at different depths. If official connections between the Royal Society of London and the Royal Navy and Admiralty were scarce, certain men nevertheless bridged the gap. Samuel Pepys, for instance, was both Secretary of the Navy and President of the Royal </w:t>
      </w:r>
      <w:proofErr w:type="spellStart"/>
      <w:r>
        <w:rPr>
          <w:rFonts w:ascii="Times" w:hAnsi="Times"/>
          <w:sz w:val="20"/>
          <w:szCs w:val="20"/>
        </w:rPr>
        <w:t>Soci</w:t>
      </w:r>
      <w:proofErr w:type="spellEnd"/>
      <w:r>
        <w:rPr>
          <w:rFonts w:ascii="Times" w:hAnsi="Times"/>
          <w:sz w:val="20"/>
          <w:szCs w:val="20"/>
        </w:rPr>
        <w:t xml:space="preserve">- </w:t>
      </w:r>
      <w:proofErr w:type="spellStart"/>
      <w:r>
        <w:rPr>
          <w:rFonts w:ascii="Times" w:hAnsi="Times"/>
          <w:sz w:val="20"/>
          <w:szCs w:val="20"/>
        </w:rPr>
        <w:t>ety</w:t>
      </w:r>
      <w:proofErr w:type="spellEnd"/>
      <w:r>
        <w:rPr>
          <w:rFonts w:ascii="Times" w:hAnsi="Times"/>
          <w:sz w:val="20"/>
          <w:szCs w:val="20"/>
        </w:rPr>
        <w:t xml:space="preserve">. That society solicited information from mariners as well as any travel- </w:t>
      </w:r>
      <w:proofErr w:type="spellStart"/>
      <w:r>
        <w:rPr>
          <w:rFonts w:ascii="Times" w:hAnsi="Times"/>
          <w:sz w:val="20"/>
          <w:szCs w:val="20"/>
        </w:rPr>
        <w:t>ers</w:t>
      </w:r>
      <w:proofErr w:type="spellEnd"/>
      <w:r>
        <w:rPr>
          <w:rFonts w:ascii="Times" w:hAnsi="Times"/>
          <w:sz w:val="20"/>
          <w:szCs w:val="20"/>
        </w:rPr>
        <w:t xml:space="preserve"> who had knowledge of sea voyages.</w:t>
      </w:r>
      <w:r>
        <w:rPr>
          <w:rFonts w:ascii="Times" w:hAnsi="Times"/>
          <w:position w:val="6"/>
          <w:sz w:val="12"/>
          <w:szCs w:val="12"/>
        </w:rPr>
        <w:t xml:space="preserve">17 </w:t>
      </w:r>
    </w:p>
    <w:p w14:paraId="1F8C6FD8" w14:textId="77777777" w:rsidR="00695A98" w:rsidRDefault="00695A98" w:rsidP="00695A98">
      <w:pPr>
        <w:pStyle w:val="NormalWeb"/>
      </w:pPr>
      <w:r>
        <w:rPr>
          <w:rFonts w:ascii="Times" w:hAnsi="Times"/>
          <w:sz w:val="20"/>
          <w:szCs w:val="20"/>
        </w:rPr>
        <w:t xml:space="preserve">Many sailors, even of low rank, responded to scientific interest in the sea. Whatever the growing prestige of naval service for highborn men in the eighteenth century, it was still the case that men who came up through the ranks, let alone self-made merchant mariners, garnered little social respect. But they were respected for what they knew about the sea. The </w:t>
      </w:r>
      <w:r>
        <w:rPr>
          <w:rFonts w:ascii="Times" w:hAnsi="Times"/>
          <w:i/>
          <w:iCs/>
          <w:sz w:val="20"/>
          <w:szCs w:val="20"/>
        </w:rPr>
        <w:t xml:space="preserve">Philosophical Transactions of the Royal Society of London </w:t>
      </w:r>
      <w:r>
        <w:rPr>
          <w:rFonts w:ascii="Times" w:hAnsi="Times"/>
          <w:sz w:val="20"/>
          <w:szCs w:val="20"/>
        </w:rPr>
        <w:t xml:space="preserve">are studded with communications from sea captains about tidal patterns, waterspouts, marine life, and so on. To a remarkable extent, one man had pioneered the way for all of these eager correspondents: William Dampier, the English sailor who combined intriguing careers as a buccaneer, a circumnavigator, and a maritime expert. In 1699, Dampier had published </w:t>
      </w:r>
      <w:r>
        <w:rPr>
          <w:rFonts w:ascii="Times" w:hAnsi="Times"/>
          <w:i/>
          <w:iCs/>
          <w:sz w:val="20"/>
          <w:szCs w:val="20"/>
        </w:rPr>
        <w:t>A Discourse of Winds, Breezes, Storms, Tides, and Currents</w:t>
      </w:r>
      <w:r>
        <w:rPr>
          <w:rFonts w:ascii="Times" w:hAnsi="Times"/>
          <w:sz w:val="20"/>
          <w:szCs w:val="20"/>
        </w:rPr>
        <w:t>, the earliest comprehensive study of the patterns of motion in and over the oceans. Dampier also pro- vided a chart that indicated the winds over the Atlantic and Indian oceans, and another that did the same for the Pacific.</w:t>
      </w:r>
      <w:r>
        <w:rPr>
          <w:rFonts w:ascii="Times" w:hAnsi="Times"/>
          <w:position w:val="6"/>
          <w:sz w:val="12"/>
          <w:szCs w:val="12"/>
        </w:rPr>
        <w:t xml:space="preserve">18 </w:t>
      </w:r>
    </w:p>
    <w:p w14:paraId="69AB72A7" w14:textId="77777777" w:rsidR="00695A98" w:rsidRDefault="00695A98" w:rsidP="00695A98">
      <w:pPr>
        <w:pStyle w:val="NormalWeb"/>
      </w:pPr>
      <w:r>
        <w:rPr>
          <w:rFonts w:ascii="Times" w:hAnsi="Times"/>
          <w:sz w:val="20"/>
          <w:szCs w:val="20"/>
        </w:rPr>
        <w:t xml:space="preserve">Because of his work, Dampier became a </w:t>
      </w:r>
      <w:proofErr w:type="spellStart"/>
      <w:r>
        <w:rPr>
          <w:rFonts w:ascii="Times" w:hAnsi="Times"/>
          <w:sz w:val="20"/>
          <w:szCs w:val="20"/>
        </w:rPr>
        <w:t>protége</w:t>
      </w:r>
      <w:proofErr w:type="spellEnd"/>
      <w:r>
        <w:rPr>
          <w:rFonts w:ascii="Times" w:hAnsi="Times"/>
          <w:sz w:val="20"/>
          <w:szCs w:val="20"/>
        </w:rPr>
        <w:t>́, though not a fellow, of the Royal Society of London. He also became one of the most widely cited hydrographic experts. And his work indicates something else about maritime knowledge: it seems to have been English sailors who used the term “Atlantic” routinely to describe the ocean we now recognize under that name. Dampier used the name regularly in his writings, and used it, moreover, for both the north and the south parts of the ocean. The eventual English use of the ocean name “Atlantic” may be an instance, therefore, of an idea that did not trickle from the top of a society downward, but instead rose from the bottom up.</w:t>
      </w:r>
      <w:r>
        <w:rPr>
          <w:rFonts w:ascii="Times" w:hAnsi="Times"/>
          <w:position w:val="6"/>
          <w:sz w:val="12"/>
          <w:szCs w:val="12"/>
        </w:rPr>
        <w:t xml:space="preserve">19 </w:t>
      </w:r>
    </w:p>
    <w:p w14:paraId="0523E026" w14:textId="2B3435F6" w:rsidR="00695A98" w:rsidRDefault="00695A98" w:rsidP="00695A98">
      <w:pPr>
        <w:pStyle w:val="NormalWeb"/>
      </w:pPr>
      <w:r>
        <w:rPr>
          <w:rFonts w:ascii="Times" w:hAnsi="Times"/>
          <w:sz w:val="20"/>
          <w:szCs w:val="20"/>
        </w:rPr>
        <w:t xml:space="preserve">Other work on the Atlantic depended on the cooperation, however uneasy, between mariners and men of science. That was the case with </w:t>
      </w:r>
      <w:proofErr w:type="spellStart"/>
      <w:r>
        <w:rPr>
          <w:rFonts w:ascii="Times" w:hAnsi="Times"/>
          <w:sz w:val="20"/>
          <w:szCs w:val="20"/>
        </w:rPr>
        <w:t>inves</w:t>
      </w:r>
      <w:proofErr w:type="spellEnd"/>
      <w:r>
        <w:rPr>
          <w:rFonts w:ascii="Times" w:hAnsi="Times"/>
          <w:sz w:val="20"/>
          <w:szCs w:val="20"/>
        </w:rPr>
        <w:t xml:space="preserve">- </w:t>
      </w:r>
      <w:proofErr w:type="spellStart"/>
      <w:r>
        <w:rPr>
          <w:rFonts w:ascii="Times" w:hAnsi="Times"/>
          <w:sz w:val="20"/>
          <w:szCs w:val="20"/>
        </w:rPr>
        <w:t>tigation</w:t>
      </w:r>
      <w:proofErr w:type="spellEnd"/>
      <w:r>
        <w:rPr>
          <w:rFonts w:ascii="Times" w:hAnsi="Times"/>
          <w:sz w:val="20"/>
          <w:szCs w:val="20"/>
        </w:rPr>
        <w:t xml:space="preserve"> of magnetic variation, a considerable problem for navigators who depended on compass readings. Earth’s magnetic field is not uniform, a fact that became ever more apparent as ships ventured over a greater extent of the globe. The first systematic attempt to map magnetic variation was done in the Atlantic, and by an Englishman, Edmond Halley, after whom the recurring comet is named. Yet Halley did his work without the strong state sponsorship that a contemporary French or earlier Spanish venture might have received. He had the support of the Admiralty, which gave him the use of a vessel, the </w:t>
      </w:r>
      <w:r>
        <w:rPr>
          <w:rFonts w:ascii="Times" w:hAnsi="Times"/>
          <w:i/>
          <w:iCs/>
          <w:sz w:val="20"/>
          <w:szCs w:val="20"/>
        </w:rPr>
        <w:t>Paramore</w:t>
      </w:r>
      <w:r>
        <w:rPr>
          <w:rFonts w:ascii="Times" w:hAnsi="Times"/>
          <w:sz w:val="20"/>
          <w:szCs w:val="20"/>
        </w:rPr>
        <w:t xml:space="preserve">, for his three Atlantic voyages, though he was not formally subject to the Admiralty’s orders. And Halley was frustrated by his crew’s unwillingness to be commanded by him, a landsman. After his first voyage, he had one of the mates of the </w:t>
      </w:r>
      <w:r>
        <w:rPr>
          <w:rFonts w:ascii="Times" w:hAnsi="Times"/>
          <w:i/>
          <w:iCs/>
          <w:sz w:val="20"/>
          <w:szCs w:val="20"/>
        </w:rPr>
        <w:t xml:space="preserve">Paramore </w:t>
      </w:r>
      <w:r>
        <w:rPr>
          <w:rFonts w:ascii="Times" w:hAnsi="Times"/>
          <w:sz w:val="20"/>
          <w:szCs w:val="20"/>
        </w:rPr>
        <w:t xml:space="preserve">court-martialed for his conduct and was careful on his next voyages to have undisputed command of his vessel. Using the data gathered </w:t>
      </w:r>
      <w:r>
        <w:rPr>
          <w:rFonts w:ascii="Times" w:hAnsi="Times"/>
          <w:sz w:val="20"/>
          <w:szCs w:val="20"/>
        </w:rPr>
        <w:lastRenderedPageBreak/>
        <w:t xml:space="preserve">from his three voyages, Halley pro- </w:t>
      </w:r>
      <w:proofErr w:type="spellStart"/>
      <w:r>
        <w:rPr>
          <w:rFonts w:ascii="Times" w:hAnsi="Times"/>
          <w:sz w:val="20"/>
          <w:szCs w:val="20"/>
        </w:rPr>
        <w:t>duced</w:t>
      </w:r>
      <w:proofErr w:type="spellEnd"/>
      <w:r>
        <w:rPr>
          <w:rFonts w:ascii="Times" w:hAnsi="Times"/>
          <w:sz w:val="20"/>
          <w:szCs w:val="20"/>
        </w:rPr>
        <w:t xml:space="preserve"> history’s first thematic map—which took as its focus, significantly, the Atlantic Ocean. (A thematic map emphasizes some feature that is not a visible physical phenomenon, such as differently shaded areas to </w:t>
      </w:r>
      <w:proofErr w:type="spellStart"/>
      <w:r>
        <w:rPr>
          <w:rFonts w:ascii="Times" w:hAnsi="Times"/>
          <w:sz w:val="20"/>
          <w:szCs w:val="20"/>
        </w:rPr>
        <w:t>indi</w:t>
      </w:r>
      <w:proofErr w:type="spellEnd"/>
      <w:r>
        <w:rPr>
          <w:rFonts w:ascii="Times" w:hAnsi="Times"/>
          <w:sz w:val="20"/>
          <w:szCs w:val="20"/>
        </w:rPr>
        <w:t>- cate stocks of fish, or larger or smaller circles to show distribution of urban populations, and so on.)</w:t>
      </w:r>
      <w:r>
        <w:rPr>
          <w:rFonts w:ascii="Times" w:hAnsi="Times"/>
          <w:position w:val="6"/>
          <w:sz w:val="12"/>
          <w:szCs w:val="12"/>
        </w:rPr>
        <w:t xml:space="preserve">20 </w:t>
      </w:r>
    </w:p>
    <w:p w14:paraId="4C5AC02F" w14:textId="77777777" w:rsidR="00695A98" w:rsidRDefault="00695A98" w:rsidP="00695A98">
      <w:pPr>
        <w:pStyle w:val="NormalWeb"/>
      </w:pPr>
      <w:r>
        <w:rPr>
          <w:rFonts w:ascii="Times" w:hAnsi="Times"/>
          <w:sz w:val="20"/>
          <w:szCs w:val="20"/>
        </w:rPr>
        <w:t xml:space="preserve">The well-known British quest for longitude was a similarly Atlantic story. In 1714 Parliament set up the Longitude Prize in the wake of Sir </w:t>
      </w:r>
      <w:proofErr w:type="spellStart"/>
      <w:r>
        <w:rPr>
          <w:rFonts w:ascii="Times" w:hAnsi="Times"/>
          <w:sz w:val="20"/>
          <w:szCs w:val="20"/>
        </w:rPr>
        <w:t>Cloudsley</w:t>
      </w:r>
      <w:proofErr w:type="spellEnd"/>
      <w:r>
        <w:rPr>
          <w:rFonts w:ascii="Times" w:hAnsi="Times"/>
          <w:sz w:val="20"/>
          <w:szCs w:val="20"/>
        </w:rPr>
        <w:t xml:space="preserve"> </w:t>
      </w:r>
      <w:proofErr w:type="spellStart"/>
      <w:r>
        <w:rPr>
          <w:rFonts w:ascii="Times" w:hAnsi="Times"/>
          <w:sz w:val="20"/>
          <w:szCs w:val="20"/>
        </w:rPr>
        <w:t>Shovell’s</w:t>
      </w:r>
      <w:proofErr w:type="spellEnd"/>
      <w:r>
        <w:rPr>
          <w:rFonts w:ascii="Times" w:hAnsi="Times"/>
          <w:sz w:val="20"/>
          <w:szCs w:val="20"/>
        </w:rPr>
        <w:t xml:space="preserve"> devastating wreck in the Atlantic, on his return from action in Queen Anne’s War. The competition would award £20,000 for any device or method, usable at sea, that determined longitude (east–west position) within thirty nautical miles of its true location; lower sums would be awarded to less accurate solutions to the problem. And it was tests on the Atlantic which demonstrated that John Harrison’s chronometer was prob- ably the winner of that prize, not without acrimony among the contending parties and resentment by the French, who had developed their own </w:t>
      </w:r>
      <w:proofErr w:type="spellStart"/>
      <w:r>
        <w:rPr>
          <w:rFonts w:ascii="Times" w:hAnsi="Times"/>
          <w:sz w:val="20"/>
          <w:szCs w:val="20"/>
        </w:rPr>
        <w:t>chro</w:t>
      </w:r>
      <w:proofErr w:type="spellEnd"/>
      <w:r>
        <w:rPr>
          <w:rFonts w:ascii="Times" w:hAnsi="Times"/>
          <w:sz w:val="20"/>
          <w:szCs w:val="20"/>
        </w:rPr>
        <w:t xml:space="preserve">- </w:t>
      </w:r>
      <w:proofErr w:type="spellStart"/>
      <w:r>
        <w:rPr>
          <w:rFonts w:ascii="Times" w:hAnsi="Times"/>
          <w:sz w:val="20"/>
          <w:szCs w:val="20"/>
        </w:rPr>
        <w:t>nometer</w:t>
      </w:r>
      <w:proofErr w:type="spellEnd"/>
      <w:r>
        <w:rPr>
          <w:rFonts w:ascii="Times" w:hAnsi="Times"/>
          <w:sz w:val="20"/>
          <w:szCs w:val="20"/>
        </w:rPr>
        <w:t>. In any case, the actual use of chronometers remained rare until well into the nineteenth century, because of their prohibitive expense.</w:t>
      </w:r>
      <w:r>
        <w:rPr>
          <w:rFonts w:ascii="Times" w:hAnsi="Times"/>
          <w:position w:val="6"/>
          <w:sz w:val="12"/>
          <w:szCs w:val="12"/>
        </w:rPr>
        <w:t xml:space="preserve">21 </w:t>
      </w:r>
    </w:p>
    <w:p w14:paraId="508BB59F" w14:textId="77777777" w:rsidR="00695A98" w:rsidRDefault="00695A98" w:rsidP="00695A98">
      <w:pPr>
        <w:pStyle w:val="NormalWeb"/>
      </w:pPr>
      <w:r>
        <w:rPr>
          <w:rFonts w:ascii="Times" w:hAnsi="Times"/>
          <w:sz w:val="20"/>
          <w:szCs w:val="20"/>
        </w:rPr>
        <w:t xml:space="preserve">Harrison’s and Halley’s efforts were typical of a British style of engage- </w:t>
      </w:r>
      <w:proofErr w:type="spellStart"/>
      <w:r>
        <w:rPr>
          <w:rFonts w:ascii="Times" w:hAnsi="Times"/>
          <w:sz w:val="20"/>
          <w:szCs w:val="20"/>
        </w:rPr>
        <w:t>ment</w:t>
      </w:r>
      <w:proofErr w:type="spellEnd"/>
      <w:r>
        <w:rPr>
          <w:rFonts w:ascii="Times" w:hAnsi="Times"/>
          <w:sz w:val="20"/>
          <w:szCs w:val="20"/>
        </w:rPr>
        <w:t xml:space="preserve"> with the Atlantic: efforts to understand the ocean were encouraged but not commanded by the state. A voluntary and sometimes competing set of ambitions from a variety of English-speaking people was precisely what made the North Atlantic Ocean into a meaningful physical entity. It was a contrast to the Iberian situation. Spain continued to gather </w:t>
      </w:r>
      <w:proofErr w:type="spellStart"/>
      <w:r>
        <w:rPr>
          <w:rFonts w:ascii="Times" w:hAnsi="Times"/>
          <w:sz w:val="20"/>
          <w:szCs w:val="20"/>
        </w:rPr>
        <w:t>informa</w:t>
      </w:r>
      <w:proofErr w:type="spellEnd"/>
      <w:r>
        <w:rPr>
          <w:rFonts w:ascii="Times" w:hAnsi="Times"/>
          <w:sz w:val="20"/>
          <w:szCs w:val="20"/>
        </w:rPr>
        <w:t xml:space="preserve">- </w:t>
      </w:r>
      <w:proofErr w:type="spellStart"/>
      <w:r>
        <w:rPr>
          <w:rFonts w:ascii="Times" w:hAnsi="Times"/>
          <w:sz w:val="20"/>
          <w:szCs w:val="20"/>
        </w:rPr>
        <w:t>tion</w:t>
      </w:r>
      <w:proofErr w:type="spellEnd"/>
      <w:r>
        <w:rPr>
          <w:rFonts w:ascii="Times" w:hAnsi="Times"/>
          <w:sz w:val="20"/>
          <w:szCs w:val="20"/>
        </w:rPr>
        <w:t xml:space="preserve"> about the Atlantic and other oceans but, in contrast to Britain, allowed less and less of it to be published during the eighteenth century, perhaps to prevent proprietary information from becoming public knowledge. Much accomplished work was returned to Spain, but only to be shelved in archives and forgotten.</w:t>
      </w:r>
      <w:r>
        <w:rPr>
          <w:rFonts w:ascii="Times" w:hAnsi="Times"/>
          <w:position w:val="6"/>
          <w:sz w:val="12"/>
          <w:szCs w:val="12"/>
        </w:rPr>
        <w:t xml:space="preserve">22 </w:t>
      </w:r>
    </w:p>
    <w:p w14:paraId="0DDFC1C7" w14:textId="77777777" w:rsidR="00695A98" w:rsidRDefault="00695A98" w:rsidP="00695A98">
      <w:pPr>
        <w:pStyle w:val="NormalWeb"/>
      </w:pPr>
      <w:r>
        <w:rPr>
          <w:rFonts w:ascii="Times" w:hAnsi="Times"/>
          <w:sz w:val="20"/>
          <w:szCs w:val="20"/>
        </w:rPr>
        <w:t xml:space="preserve">British colonists, too, made significant contributions to knowledge of the North Atlantic, contributions that demonstrated how definitions of the ocean went not just from center to periphery, but also traced the reverse pattern. The first chart of the Gulf Stream, for instance, was entirely the handiwork of two Americans. That chart was made because of a question put to Benjamin Franklin in 1768. Franklin was Deputy Postmaster Gen- </w:t>
      </w:r>
      <w:proofErr w:type="spellStart"/>
      <w:r>
        <w:rPr>
          <w:rFonts w:ascii="Times" w:hAnsi="Times"/>
          <w:sz w:val="20"/>
          <w:szCs w:val="20"/>
        </w:rPr>
        <w:t>eral</w:t>
      </w:r>
      <w:proofErr w:type="spellEnd"/>
      <w:r>
        <w:rPr>
          <w:rFonts w:ascii="Times" w:hAnsi="Times"/>
          <w:sz w:val="20"/>
          <w:szCs w:val="20"/>
        </w:rPr>
        <w:t xml:space="preserve"> for the American colonies; the Board of Trade had asked him why on earth it took longer for mail to get from England to Boston than it did com- </w:t>
      </w:r>
      <w:proofErr w:type="spellStart"/>
      <w:r>
        <w:rPr>
          <w:rFonts w:ascii="Times" w:hAnsi="Times"/>
          <w:sz w:val="20"/>
          <w:szCs w:val="20"/>
        </w:rPr>
        <w:t>ing</w:t>
      </w:r>
      <w:proofErr w:type="spellEnd"/>
      <w:r>
        <w:rPr>
          <w:rFonts w:ascii="Times" w:hAnsi="Times"/>
          <w:sz w:val="20"/>
          <w:szCs w:val="20"/>
        </w:rPr>
        <w:t xml:space="preserve"> the other way. Franklin consulted one of his many Nantucket cousins, Timothy Folger, a ship’s captain who knew the whalers who worked the waters between England and New England. Folger told Franklin that the Gulf Stream’s eastwardly flowing waters slowed traffic trying to get west but speeded up the traffic going in the other direction. Franklin asked his cousin to mark the size and extent of the current on a chart of the ocean and then requested that the British Post Office have it engraved, the better to assist packet boat captains in charge of the mail service.</w:t>
      </w:r>
      <w:r>
        <w:rPr>
          <w:rFonts w:ascii="Times" w:hAnsi="Times"/>
          <w:position w:val="6"/>
          <w:sz w:val="12"/>
          <w:szCs w:val="12"/>
        </w:rPr>
        <w:t xml:space="preserve">23 </w:t>
      </w:r>
    </w:p>
    <w:p w14:paraId="5C19A58A" w14:textId="77777777" w:rsidR="00695A98" w:rsidRDefault="00695A98" w:rsidP="00695A98">
      <w:pPr>
        <w:pStyle w:val="NormalWeb"/>
      </w:pPr>
      <w:r>
        <w:rPr>
          <w:rFonts w:ascii="Times" w:hAnsi="Times"/>
          <w:sz w:val="20"/>
          <w:szCs w:val="20"/>
        </w:rPr>
        <w:t>Eventually, Britons and British Americans managed to convince them- selves that the ocean at the center of their attention deserved a distinctive name. The keyword-searchable electronic compendium of early American newspapers shows this trend. Instances of the word “Atlantic,” spelled with or without a terminal “k,” rise from one occurrence in the 1720s to 760 in the 1790s. Within this upward trend, the key decade is the 1760s, which saw 126 uses, up from a mere seven instances in the preceding decade. The reason for this is obvious: the Seven Years’ War, which consolidated British and American ambitions to control North America, the Caribbean, and the Atlantic Ocean that conveyed the trade of both places back to Britain.</w:t>
      </w:r>
      <w:r>
        <w:rPr>
          <w:rFonts w:ascii="Times" w:hAnsi="Times"/>
          <w:position w:val="6"/>
          <w:sz w:val="12"/>
          <w:szCs w:val="12"/>
        </w:rPr>
        <w:t xml:space="preserve">24 </w:t>
      </w:r>
    </w:p>
    <w:p w14:paraId="54ECC333" w14:textId="76E7CEB6" w:rsidR="00695A98" w:rsidRDefault="00695A98" w:rsidP="00695A98">
      <w:pPr>
        <w:pStyle w:val="NormalWeb"/>
      </w:pPr>
      <w:r>
        <w:rPr>
          <w:rFonts w:ascii="Times" w:hAnsi="Times"/>
          <w:sz w:val="20"/>
          <w:szCs w:val="20"/>
        </w:rPr>
        <w:t xml:space="preserve">And back in Britain itself, maritime officials were at last organizing a great cartographic project to survey the Atlantic—under that name. The </w:t>
      </w:r>
      <w:r>
        <w:rPr>
          <w:rFonts w:ascii="Times" w:hAnsi="Times"/>
          <w:i/>
          <w:iCs/>
          <w:sz w:val="20"/>
          <w:szCs w:val="20"/>
        </w:rPr>
        <w:t xml:space="preserve">Atlantic Neptune </w:t>
      </w:r>
      <w:r>
        <w:rPr>
          <w:rFonts w:ascii="Times" w:hAnsi="Times"/>
          <w:sz w:val="20"/>
          <w:szCs w:val="20"/>
        </w:rPr>
        <w:t xml:space="preserve">drew upon decades of British surveying efforts. These had peaked during the Seven Years’ War, when Britain dispatched maritime surveyors to map the coastlines of strategic areas. James Cook, later the Captain Cook of Pacific fame, was one of many young mariners who got his surveying experience in the Atlantic—in Cook’s case, the coastline of New France. In 1774, the Admiralty ordered Colonel J. F. W. Des Barres of the British Engineers to compile an atlas of sea charts that the Royal Navy could use in American waters. Des Barres complied and, between 1777 and 1780, produced four volumes which included 247 charts and colored views of the coastline. </w:t>
      </w:r>
      <w:r>
        <w:rPr>
          <w:rFonts w:ascii="Times" w:hAnsi="Times"/>
          <w:i/>
          <w:iCs/>
          <w:sz w:val="20"/>
          <w:szCs w:val="20"/>
        </w:rPr>
        <w:t xml:space="preserve">Atlantic Neptune </w:t>
      </w:r>
      <w:r>
        <w:rPr>
          <w:rFonts w:ascii="Times" w:hAnsi="Times"/>
          <w:sz w:val="20"/>
          <w:szCs w:val="20"/>
        </w:rPr>
        <w:t xml:space="preserve">proved unexpectedly useful to the British during the American Revolution, though that conflict also delayed com- </w:t>
      </w:r>
      <w:proofErr w:type="spellStart"/>
      <w:r>
        <w:rPr>
          <w:rFonts w:ascii="Times" w:hAnsi="Times"/>
          <w:sz w:val="20"/>
          <w:szCs w:val="20"/>
        </w:rPr>
        <w:t>pletion</w:t>
      </w:r>
      <w:proofErr w:type="spellEnd"/>
      <w:r>
        <w:rPr>
          <w:rFonts w:ascii="Times" w:hAnsi="Times"/>
          <w:sz w:val="20"/>
          <w:szCs w:val="20"/>
        </w:rPr>
        <w:t xml:space="preserve"> of the project and guaranteed that Britain’s American and French enemies would consult and even pirate Des Barres’s charts during the War for Independence.</w:t>
      </w:r>
      <w:r>
        <w:rPr>
          <w:rFonts w:ascii="Times" w:hAnsi="Times"/>
          <w:position w:val="6"/>
          <w:sz w:val="12"/>
          <w:szCs w:val="12"/>
        </w:rPr>
        <w:t xml:space="preserve">25 </w:t>
      </w:r>
    </w:p>
    <w:p w14:paraId="1A0950B9" w14:textId="77777777" w:rsidR="00695A98" w:rsidRDefault="00695A98" w:rsidP="00695A98">
      <w:pPr>
        <w:pStyle w:val="NormalWeb"/>
      </w:pPr>
      <w:r>
        <w:rPr>
          <w:rFonts w:ascii="Times" w:hAnsi="Times"/>
          <w:sz w:val="20"/>
          <w:szCs w:val="20"/>
        </w:rPr>
        <w:lastRenderedPageBreak/>
        <w:t xml:space="preserve">It was also important for the independent Americans to claim the Atlantic for themselves. Benjamin Franklin recycled his 1768 Gulf Stream chart twice, first as part of a plan to establish a Franco–American packet boat service around 1782, then as part of his long essay “Maritime Observations,” published in the </w:t>
      </w:r>
      <w:r>
        <w:rPr>
          <w:rFonts w:ascii="Times" w:hAnsi="Times"/>
          <w:i/>
          <w:iCs/>
          <w:sz w:val="20"/>
          <w:szCs w:val="20"/>
        </w:rPr>
        <w:t xml:space="preserve">Transactions of the American </w:t>
      </w:r>
      <w:proofErr w:type="spellStart"/>
      <w:r>
        <w:rPr>
          <w:rFonts w:ascii="Times" w:hAnsi="Times"/>
          <w:i/>
          <w:iCs/>
          <w:sz w:val="20"/>
          <w:szCs w:val="20"/>
        </w:rPr>
        <w:t>Philosoph</w:t>
      </w:r>
      <w:proofErr w:type="spellEnd"/>
      <w:r>
        <w:rPr>
          <w:rFonts w:ascii="Times" w:hAnsi="Times"/>
          <w:i/>
          <w:iCs/>
          <w:sz w:val="20"/>
          <w:szCs w:val="20"/>
        </w:rPr>
        <w:t xml:space="preserve">- </w:t>
      </w:r>
      <w:proofErr w:type="spellStart"/>
      <w:r>
        <w:rPr>
          <w:rFonts w:ascii="Times" w:hAnsi="Times"/>
          <w:i/>
          <w:iCs/>
          <w:sz w:val="20"/>
          <w:szCs w:val="20"/>
        </w:rPr>
        <w:t>ical</w:t>
      </w:r>
      <w:proofErr w:type="spellEnd"/>
      <w:r>
        <w:rPr>
          <w:rFonts w:ascii="Times" w:hAnsi="Times"/>
          <w:i/>
          <w:iCs/>
          <w:sz w:val="20"/>
          <w:szCs w:val="20"/>
        </w:rPr>
        <w:t xml:space="preserve"> Society </w:t>
      </w:r>
      <w:r>
        <w:rPr>
          <w:rFonts w:ascii="Times" w:hAnsi="Times"/>
          <w:sz w:val="20"/>
          <w:szCs w:val="20"/>
        </w:rPr>
        <w:t xml:space="preserve">in 1786. Each subsequent chart was smaller; it focused more narrowly on the North Atlantic in the 1782 version and in the 1786 </w:t>
      </w:r>
      <w:proofErr w:type="spellStart"/>
      <w:r>
        <w:rPr>
          <w:rFonts w:ascii="Times" w:hAnsi="Times"/>
          <w:sz w:val="20"/>
          <w:szCs w:val="20"/>
        </w:rPr>
        <w:t>ver</w:t>
      </w:r>
      <w:proofErr w:type="spellEnd"/>
      <w:r>
        <w:rPr>
          <w:rFonts w:ascii="Times" w:hAnsi="Times"/>
          <w:sz w:val="20"/>
          <w:szCs w:val="20"/>
        </w:rPr>
        <w:t xml:space="preserve">- </w:t>
      </w:r>
      <w:proofErr w:type="spellStart"/>
      <w:r>
        <w:rPr>
          <w:rFonts w:ascii="Times" w:hAnsi="Times"/>
          <w:sz w:val="20"/>
          <w:szCs w:val="20"/>
        </w:rPr>
        <w:t>sion</w:t>
      </w:r>
      <w:proofErr w:type="spellEnd"/>
      <w:r>
        <w:rPr>
          <w:rFonts w:ascii="Times" w:hAnsi="Times"/>
          <w:sz w:val="20"/>
          <w:szCs w:val="20"/>
        </w:rPr>
        <w:t xml:space="preserve">, which also omitted many place-names on the continent. Subsequent American publications likewise zeroed in on the parts of the Atlantic important to them and, even if they were adapted from British charts, pointedly renamed them as American ones. The first set of sailing </w:t>
      </w:r>
      <w:proofErr w:type="spellStart"/>
      <w:r>
        <w:rPr>
          <w:rFonts w:ascii="Times" w:hAnsi="Times"/>
          <w:sz w:val="20"/>
          <w:szCs w:val="20"/>
        </w:rPr>
        <w:t>instruc</w:t>
      </w:r>
      <w:proofErr w:type="spellEnd"/>
      <w:r>
        <w:rPr>
          <w:rFonts w:ascii="Times" w:hAnsi="Times"/>
          <w:sz w:val="20"/>
          <w:szCs w:val="20"/>
        </w:rPr>
        <w:t xml:space="preserve">- </w:t>
      </w:r>
      <w:proofErr w:type="spellStart"/>
      <w:r>
        <w:rPr>
          <w:rFonts w:ascii="Times" w:hAnsi="Times"/>
          <w:sz w:val="20"/>
          <w:szCs w:val="20"/>
        </w:rPr>
        <w:t>tions</w:t>
      </w:r>
      <w:proofErr w:type="spellEnd"/>
      <w:r>
        <w:rPr>
          <w:rFonts w:ascii="Times" w:hAnsi="Times"/>
          <w:sz w:val="20"/>
          <w:szCs w:val="20"/>
        </w:rPr>
        <w:t xml:space="preserve"> to be printed in the United States, Lawrence Furlong’s </w:t>
      </w:r>
      <w:r>
        <w:rPr>
          <w:rFonts w:ascii="Times" w:hAnsi="Times"/>
          <w:i/>
          <w:iCs/>
          <w:sz w:val="20"/>
          <w:szCs w:val="20"/>
        </w:rPr>
        <w:t xml:space="preserve">American Coast Pilot </w:t>
      </w:r>
      <w:r>
        <w:rPr>
          <w:rFonts w:ascii="Times" w:hAnsi="Times"/>
          <w:sz w:val="20"/>
          <w:szCs w:val="20"/>
        </w:rPr>
        <w:t>of 1796, thus guided American navigators up and down their nation’s now independent coastline as well as toward the waters of the much-contested Mississippi River, which Americans were determined to control for themselves.</w:t>
      </w:r>
      <w:r>
        <w:rPr>
          <w:rFonts w:ascii="Times" w:hAnsi="Times"/>
          <w:position w:val="6"/>
          <w:sz w:val="12"/>
          <w:szCs w:val="12"/>
        </w:rPr>
        <w:t xml:space="preserve">26 </w:t>
      </w:r>
    </w:p>
    <w:p w14:paraId="726A90D6" w14:textId="77777777" w:rsidR="00695A98" w:rsidRDefault="00695A98" w:rsidP="00695A98">
      <w:pPr>
        <w:pStyle w:val="NormalWeb"/>
      </w:pPr>
      <w:r>
        <w:rPr>
          <w:rFonts w:ascii="Times" w:hAnsi="Times"/>
          <w:sz w:val="20"/>
          <w:szCs w:val="20"/>
        </w:rPr>
        <w:t xml:space="preserve">With so much taking place in and around the Atlantic, it is hard to believe that people looked beyond it, but they did. They began to see their familiar ocean as a route to others, particularly the Pacific. To a certain extent, knowledge of </w:t>
      </w:r>
      <w:proofErr w:type="gramStart"/>
      <w:r>
        <w:rPr>
          <w:rFonts w:ascii="Times" w:hAnsi="Times"/>
          <w:sz w:val="20"/>
          <w:szCs w:val="20"/>
        </w:rPr>
        <w:t>Atlantic sea</w:t>
      </w:r>
      <w:proofErr w:type="gramEnd"/>
      <w:r>
        <w:rPr>
          <w:rFonts w:ascii="Times" w:hAnsi="Times"/>
          <w:sz w:val="20"/>
          <w:szCs w:val="20"/>
        </w:rPr>
        <w:t xml:space="preserve"> routes had been facilitating travel to other oceans all along; the shipping stations established on St. Helena, at the Cape of Good Hope (the “Tavern of Two Seas”), and around Cape Horn had shown the utility of the Atlantic to world travel. There had long been parallel European interest in the Indian Ocean, and Portuguese navigators had of course pioneered an Atlantic route around Africa and to India. And the Spanish had, since the sixteenth century, a Pacific foothold in the Philippines, giving Spain the only empire that passed through the Americas and included the two oceans on either side. </w:t>
      </w:r>
    </w:p>
    <w:p w14:paraId="772D7674" w14:textId="191142AD" w:rsidR="00695A98" w:rsidRDefault="00695A98" w:rsidP="00695A98">
      <w:pPr>
        <w:pStyle w:val="NormalWeb"/>
      </w:pPr>
      <w:r>
        <w:rPr>
          <w:rFonts w:ascii="Times" w:hAnsi="Times"/>
          <w:sz w:val="20"/>
          <w:szCs w:val="20"/>
        </w:rPr>
        <w:t xml:space="preserve">No wonder so many people yearned for a Northwest Passage. Whoever discovered that conduit would be able to connect the two oceans more </w:t>
      </w:r>
      <w:proofErr w:type="spellStart"/>
      <w:r>
        <w:rPr>
          <w:rFonts w:ascii="Times" w:hAnsi="Times"/>
          <w:sz w:val="20"/>
          <w:szCs w:val="20"/>
        </w:rPr>
        <w:t>eas</w:t>
      </w:r>
      <w:proofErr w:type="spellEnd"/>
      <w:r>
        <w:rPr>
          <w:rFonts w:ascii="Times" w:hAnsi="Times"/>
          <w:sz w:val="20"/>
          <w:szCs w:val="20"/>
        </w:rPr>
        <w:t xml:space="preserve">- </w:t>
      </w:r>
      <w:proofErr w:type="spellStart"/>
      <w:r>
        <w:rPr>
          <w:rFonts w:ascii="Times" w:hAnsi="Times"/>
          <w:sz w:val="20"/>
          <w:szCs w:val="20"/>
        </w:rPr>
        <w:t>ily</w:t>
      </w:r>
      <w:proofErr w:type="spellEnd"/>
      <w:r>
        <w:rPr>
          <w:rFonts w:ascii="Times" w:hAnsi="Times"/>
          <w:sz w:val="20"/>
          <w:szCs w:val="20"/>
        </w:rPr>
        <w:t xml:space="preserve"> than the Spanish could, because they could then avoid the tedious over- land route through Panama or the dangerous sea passage around the tip of South America. Although plenty of tall tales and hoaxes mark the history of the Northwest Passage, the search for it was not in fact the pastime of cranks and nobodies—many sober and reasonable people scanned maps, pored over explorers’ accounts, and even fitted out expeditions in order to find some passageway through the North American continent that might lead to Asia via the South Sea, as the Pacific was commonly known. In 1745, the British Parliament offered a £20,000 reward—equivalent to the Longitude Prize—to anyone who could sail from Hudson’s Bay to the South Sea.</w:t>
      </w:r>
      <w:r>
        <w:rPr>
          <w:rFonts w:ascii="Times" w:hAnsi="Times"/>
          <w:position w:val="6"/>
          <w:sz w:val="12"/>
          <w:szCs w:val="12"/>
        </w:rPr>
        <w:t xml:space="preserve">27 </w:t>
      </w:r>
    </w:p>
    <w:p w14:paraId="2626375A" w14:textId="77777777" w:rsidR="00695A98" w:rsidRDefault="00695A98" w:rsidP="00695A98">
      <w:pPr>
        <w:pStyle w:val="NormalWeb"/>
      </w:pPr>
      <w:r>
        <w:rPr>
          <w:rFonts w:ascii="Times" w:hAnsi="Times"/>
          <w:sz w:val="20"/>
          <w:szCs w:val="20"/>
        </w:rPr>
        <w:t xml:space="preserve">Although no such passage was possible until the twentieth century and the development of vessels with ice-breaking capability, attempts to find one were nevertheless productive in establishing a variety of other </w:t>
      </w:r>
      <w:proofErr w:type="spellStart"/>
      <w:r>
        <w:rPr>
          <w:rFonts w:ascii="Times" w:hAnsi="Times"/>
          <w:sz w:val="20"/>
          <w:szCs w:val="20"/>
        </w:rPr>
        <w:t>knowl</w:t>
      </w:r>
      <w:proofErr w:type="spellEnd"/>
      <w:r>
        <w:rPr>
          <w:rFonts w:ascii="Times" w:hAnsi="Times"/>
          <w:sz w:val="20"/>
          <w:szCs w:val="20"/>
        </w:rPr>
        <w:t xml:space="preserve">- edge about the North Atlantic. Henry Ellis’s 1748 account of his north- ward venture, </w:t>
      </w:r>
      <w:r>
        <w:rPr>
          <w:rFonts w:ascii="Times" w:hAnsi="Times"/>
          <w:i/>
          <w:iCs/>
          <w:sz w:val="20"/>
          <w:szCs w:val="20"/>
        </w:rPr>
        <w:t>A Voyage to Hudson’s Bay</w:t>
      </w:r>
      <w:r>
        <w:rPr>
          <w:rFonts w:ascii="Times" w:hAnsi="Times"/>
          <w:sz w:val="20"/>
          <w:szCs w:val="20"/>
        </w:rPr>
        <w:t>, for instance, was widely read and respected. It won Ellis a fellowship in the Royal Society and advanced his naval career significantly. The same was true of Olaudah Equiano, the freed slave later famous for his antislavery memoirs and career, who made a similar voyage in 1773. In that year, Equiano served—along with a young Horatio Nelson—as part of a British attempt to find a passage from Europe to Asia through the North Pole. Though the venture failed to find anything of promise, Equiano’s presence on the expedition again indicates how a variety of people, from all corners of the Atlantic world and every level of society, were attempting to expand knowledge of the world’s oceans.</w:t>
      </w:r>
      <w:r>
        <w:rPr>
          <w:rFonts w:ascii="Times" w:hAnsi="Times"/>
          <w:position w:val="6"/>
          <w:sz w:val="12"/>
          <w:szCs w:val="12"/>
        </w:rPr>
        <w:t xml:space="preserve">28 </w:t>
      </w:r>
    </w:p>
    <w:p w14:paraId="2326513D" w14:textId="77777777" w:rsidR="00695A98" w:rsidRDefault="00695A98" w:rsidP="00695A98">
      <w:pPr>
        <w:pStyle w:val="NormalWeb"/>
      </w:pPr>
      <w:r>
        <w:rPr>
          <w:rFonts w:ascii="Times" w:hAnsi="Times"/>
          <w:sz w:val="20"/>
          <w:szCs w:val="20"/>
        </w:rPr>
        <w:t xml:space="preserve">If the search for the Northwest Passage indicated a desire to connect Atlantic to Pacific, subsequent interest in the latter ocean represented a desire to leave the Atlantic entirely. After France’s devastating loss of New World territories in the Seven Years’ War, the French shifted attention to the Pacific, sending out the famous Bougainville expedition of 1766–1769. The British countered by organizing three voyages led by James Cook. Each of these ambitious undertakings required tremendous investment of the French or British state. The first Cook expedition of 1769–1771, for exam- </w:t>
      </w:r>
      <w:proofErr w:type="spellStart"/>
      <w:r>
        <w:rPr>
          <w:rFonts w:ascii="Times" w:hAnsi="Times"/>
          <w:sz w:val="20"/>
          <w:szCs w:val="20"/>
        </w:rPr>
        <w:t>ple</w:t>
      </w:r>
      <w:proofErr w:type="spellEnd"/>
      <w:r>
        <w:rPr>
          <w:rFonts w:ascii="Times" w:hAnsi="Times"/>
          <w:sz w:val="20"/>
          <w:szCs w:val="20"/>
        </w:rPr>
        <w:t>, was charged with charting as much of the Pacific and its landmasses as possible; with observing the transit of Venus over the sun (observations of which would help determine the distance from the Earth to the sun); with bringing back sketches, narrative descriptions, and specimens; and with generally scaring the French out of the Pacific and especially away from the rumored continent in the South Pacific, meaning Australia. Significantly, native people proved yet again essential to oceanic exploration. Cook relied on a Tahitian man, Tupaia, who volunteered to help him navigate through the South Pacific and generated a valuable map of the location of some of its islands.</w:t>
      </w:r>
      <w:r>
        <w:rPr>
          <w:rFonts w:ascii="Times" w:hAnsi="Times"/>
          <w:position w:val="6"/>
          <w:sz w:val="12"/>
          <w:szCs w:val="12"/>
        </w:rPr>
        <w:t xml:space="preserve">29 </w:t>
      </w:r>
    </w:p>
    <w:p w14:paraId="5C1C6A5D" w14:textId="4637B78C" w:rsidR="00695A98" w:rsidRDefault="00695A98" w:rsidP="00695A98">
      <w:pPr>
        <w:pStyle w:val="NormalWeb"/>
      </w:pPr>
      <w:r>
        <w:rPr>
          <w:rFonts w:ascii="Times" w:hAnsi="Times"/>
          <w:sz w:val="20"/>
          <w:szCs w:val="20"/>
        </w:rPr>
        <w:t xml:space="preserve">As Europeans took a new and serious interest in the Pacific, they system- </w:t>
      </w:r>
      <w:proofErr w:type="spellStart"/>
      <w:r>
        <w:rPr>
          <w:rFonts w:ascii="Times" w:hAnsi="Times"/>
          <w:sz w:val="20"/>
          <w:szCs w:val="20"/>
        </w:rPr>
        <w:t>atically</w:t>
      </w:r>
      <w:proofErr w:type="spellEnd"/>
      <w:r>
        <w:rPr>
          <w:rFonts w:ascii="Times" w:hAnsi="Times"/>
          <w:sz w:val="20"/>
          <w:szCs w:val="20"/>
        </w:rPr>
        <w:t xml:space="preserve"> began to call that ocean the Pacific, instead of using its older name, the South Sea. They also began to produce maps that placed the Pacific, </w:t>
      </w:r>
      <w:r>
        <w:rPr>
          <w:rFonts w:ascii="Times" w:hAnsi="Times"/>
          <w:sz w:val="20"/>
          <w:szCs w:val="20"/>
        </w:rPr>
        <w:lastRenderedPageBreak/>
        <w:t>rather than the Atlantic, at the center of the world, as in the map that showed the track of Bougainville’s passage. That shift continued the trend, which had begun after Columbus, no longer to see Europe at the center, but to envision it at the edge of a larger world, one that began with the Atlantic. After Bougainville and Cook, the world was even bigger and could most meaningfully be represented as centered on an ocean that lay half a world away from Europe. Cook was rewarded for having helped create this new world. The coat of arms granted him is unique in bearing a globe. Not just any globe—this one pointedly showcases the Pacific.</w:t>
      </w:r>
      <w:r>
        <w:rPr>
          <w:rFonts w:ascii="Times" w:hAnsi="Times"/>
          <w:position w:val="6"/>
          <w:sz w:val="12"/>
          <w:szCs w:val="12"/>
        </w:rPr>
        <w:t xml:space="preserve">30 </w:t>
      </w:r>
    </w:p>
    <w:p w14:paraId="49296C11" w14:textId="77777777" w:rsidR="00695A98" w:rsidRDefault="00695A98" w:rsidP="00695A98">
      <w:pPr>
        <w:pStyle w:val="NormalWeb"/>
      </w:pPr>
      <w:r>
        <w:rPr>
          <w:rFonts w:ascii="Times" w:hAnsi="Times"/>
          <w:sz w:val="20"/>
          <w:szCs w:val="20"/>
        </w:rPr>
        <w:t xml:space="preserve">If the Pacific was now the center of attention, it also represented an alternative to the Atlantic, especially that ocean’s worst feature, the slave trade. European discovery of the Pacific and a growing antislavery move- </w:t>
      </w:r>
      <w:proofErr w:type="spellStart"/>
      <w:r>
        <w:rPr>
          <w:rFonts w:ascii="Times" w:hAnsi="Times"/>
          <w:sz w:val="20"/>
          <w:szCs w:val="20"/>
        </w:rPr>
        <w:t>ment</w:t>
      </w:r>
      <w:proofErr w:type="spellEnd"/>
      <w:r>
        <w:rPr>
          <w:rFonts w:ascii="Times" w:hAnsi="Times"/>
          <w:sz w:val="20"/>
          <w:szCs w:val="20"/>
        </w:rPr>
        <w:t xml:space="preserve"> occurred together in time and became misleadingly associated. The old belief that the Atlantic was the means by which commerce, Christianity, and civility might be expanded was now challenged by an argument that the slave trade left the waters of the Atlantic red with gore. Slaves had long known this, of course. But especially after the </w:t>
      </w:r>
      <w:proofErr w:type="spellStart"/>
      <w:r>
        <w:rPr>
          <w:rFonts w:ascii="Times" w:hAnsi="Times"/>
          <w:i/>
          <w:iCs/>
          <w:sz w:val="20"/>
          <w:szCs w:val="20"/>
        </w:rPr>
        <w:t>Zong</w:t>
      </w:r>
      <w:proofErr w:type="spellEnd"/>
      <w:r>
        <w:rPr>
          <w:rFonts w:ascii="Times" w:hAnsi="Times"/>
          <w:i/>
          <w:iCs/>
          <w:sz w:val="20"/>
          <w:szCs w:val="20"/>
        </w:rPr>
        <w:t xml:space="preserve"> </w:t>
      </w:r>
      <w:r>
        <w:rPr>
          <w:rFonts w:ascii="Times" w:hAnsi="Times"/>
          <w:sz w:val="20"/>
          <w:szCs w:val="20"/>
        </w:rPr>
        <w:t xml:space="preserve">affair of 1781, when the captain of a Liverpool slaver of that name dumped disease-stricken and malnourished slaves into the Atlantic Ocean in order to collect the insurance on their (now guaranteed) deaths, the white population of Europe and the colonies began to adopt a more critical view of the slave-dependent </w:t>
      </w:r>
      <w:proofErr w:type="spellStart"/>
      <w:r>
        <w:rPr>
          <w:rFonts w:ascii="Times" w:hAnsi="Times"/>
          <w:sz w:val="20"/>
          <w:szCs w:val="20"/>
        </w:rPr>
        <w:t>traf</w:t>
      </w:r>
      <w:proofErr w:type="spellEnd"/>
      <w:r>
        <w:rPr>
          <w:rFonts w:ascii="Times" w:hAnsi="Times"/>
          <w:sz w:val="20"/>
          <w:szCs w:val="20"/>
        </w:rPr>
        <w:t xml:space="preserve">- </w:t>
      </w:r>
      <w:proofErr w:type="spellStart"/>
      <w:r>
        <w:rPr>
          <w:rFonts w:ascii="Times" w:hAnsi="Times"/>
          <w:sz w:val="20"/>
          <w:szCs w:val="20"/>
        </w:rPr>
        <w:t>fics</w:t>
      </w:r>
      <w:proofErr w:type="spellEnd"/>
      <w:r>
        <w:rPr>
          <w:rFonts w:ascii="Times" w:hAnsi="Times"/>
          <w:sz w:val="20"/>
          <w:szCs w:val="20"/>
        </w:rPr>
        <w:t xml:space="preserve"> that crossed their nearby ocean. Different nations began to renounce the slave trade; the United States and Great Britain independently decided to abolish their trades by 1808. The shadow that chattel slavery had cast over the Atlantic lingered past the abolition of the slave trade and even the emancipation of slaves. In 1840, the English artist Joseph </w:t>
      </w:r>
      <w:proofErr w:type="spellStart"/>
      <w:r>
        <w:rPr>
          <w:rFonts w:ascii="Times" w:hAnsi="Times"/>
          <w:sz w:val="20"/>
          <w:szCs w:val="20"/>
        </w:rPr>
        <w:t>Mallord</w:t>
      </w:r>
      <w:proofErr w:type="spellEnd"/>
      <w:r>
        <w:rPr>
          <w:rFonts w:ascii="Times" w:hAnsi="Times"/>
          <w:sz w:val="20"/>
          <w:szCs w:val="20"/>
        </w:rPr>
        <w:t xml:space="preserve"> William Turner painted his horrifying “Slave Ship,” which showed human cargo being jettisoned into the water in order to lighten the craft before an oncoming hurricane. </w:t>
      </w:r>
    </w:p>
    <w:p w14:paraId="5523B2CC" w14:textId="77777777" w:rsidR="00695A98" w:rsidRDefault="00695A98" w:rsidP="00695A98">
      <w:pPr>
        <w:pStyle w:val="NormalWeb"/>
      </w:pPr>
      <w:r>
        <w:rPr>
          <w:rFonts w:ascii="Times" w:hAnsi="Times"/>
          <w:sz w:val="20"/>
          <w:szCs w:val="20"/>
        </w:rPr>
        <w:t xml:space="preserve">The Pacific, some architects of empire vowed, would never be so pol- </w:t>
      </w:r>
      <w:proofErr w:type="spellStart"/>
      <w:r>
        <w:rPr>
          <w:rFonts w:ascii="Times" w:hAnsi="Times"/>
          <w:sz w:val="20"/>
          <w:szCs w:val="20"/>
        </w:rPr>
        <w:t>luted</w:t>
      </w:r>
      <w:proofErr w:type="spellEnd"/>
      <w:r>
        <w:rPr>
          <w:rFonts w:ascii="Times" w:hAnsi="Times"/>
          <w:sz w:val="20"/>
          <w:szCs w:val="20"/>
        </w:rPr>
        <w:t xml:space="preserve"> by the inhumanity of slave trafficking. It is true that extremely few slaves were carried to the antipodes, the new worlds of the Pacific that Britain was now colonizing. But British convicts were carried there, and the freed slaves who found their way to Australia did not enjoy a paradise of racial equality—the Atlantic world of sorrow and shackles was difficult to escape, even in a place that was supposed to resemble the peaceful name of the ocean around it.</w:t>
      </w:r>
      <w:r>
        <w:rPr>
          <w:rFonts w:ascii="Times" w:hAnsi="Times"/>
          <w:position w:val="6"/>
          <w:sz w:val="12"/>
          <w:szCs w:val="12"/>
        </w:rPr>
        <w:t xml:space="preserve">31 </w:t>
      </w:r>
    </w:p>
    <w:p w14:paraId="7E301D1A" w14:textId="62894163" w:rsidR="00695A98" w:rsidRDefault="00695A98" w:rsidP="00695A98">
      <w:pPr>
        <w:pStyle w:val="NormalWeb"/>
      </w:pPr>
      <w:r>
        <w:rPr>
          <w:rFonts w:ascii="Times" w:hAnsi="Times"/>
          <w:sz w:val="20"/>
          <w:szCs w:val="20"/>
        </w:rPr>
        <w:t xml:space="preserve">A Pacific unmarked by the inequalities of the Atlantic was probably impossible to attain. But the hope that such an ocean might somehow exist represented quite powerfully the new uncertainties over the nature of the worlds that had been, in the wake of Columbus, created around the Atlantic. That ocean had once, in ancient times, been the border of the meaningful world, the end of the truly possible. By the height of European colonization of the Americas and as modern European empires began to flourish else- where, the ocean itself contained many possibilities: violent, liberating, ironic, lucrative, exhilarating, routine, or sublime—or some salty brew of them all. </w:t>
      </w:r>
    </w:p>
    <w:p w14:paraId="16D96C67" w14:textId="77777777" w:rsidR="00695A98" w:rsidRDefault="00695A98" w:rsidP="00695A98">
      <w:pPr>
        <w:pStyle w:val="NormalWeb"/>
      </w:pPr>
      <w:r>
        <w:rPr>
          <w:rFonts w:ascii="Times" w:hAnsi="Times"/>
          <w:sz w:val="18"/>
          <w:szCs w:val="18"/>
        </w:rPr>
        <w:t xml:space="preserve">NOTES </w:t>
      </w:r>
    </w:p>
    <w:p w14:paraId="2E206BEF" w14:textId="77777777" w:rsidR="00695A98" w:rsidRDefault="00695A98" w:rsidP="00695A98">
      <w:pPr>
        <w:pStyle w:val="NormalWeb"/>
      </w:pPr>
      <w:r>
        <w:rPr>
          <w:rFonts w:ascii="Times" w:hAnsi="Times"/>
          <w:sz w:val="18"/>
          <w:szCs w:val="18"/>
        </w:rPr>
        <w:t xml:space="preserve">1. Alfred W. Crosby, </w:t>
      </w:r>
      <w:r>
        <w:rPr>
          <w:rFonts w:ascii="Times" w:hAnsi="Times"/>
          <w:i/>
          <w:iCs/>
          <w:sz w:val="18"/>
          <w:szCs w:val="18"/>
        </w:rPr>
        <w:t xml:space="preserve">The Columbian Exchange: Biological and Cultural Con- sequences of 1492 </w:t>
      </w:r>
      <w:r>
        <w:rPr>
          <w:rFonts w:ascii="Times" w:hAnsi="Times"/>
          <w:sz w:val="18"/>
          <w:szCs w:val="18"/>
        </w:rPr>
        <w:t xml:space="preserve">(Westport, Conn.: Greenwood Pub. Co., 1972). For the most important maritime contribution along these lines, see W. Jeffrey Bolster, “Putting the Ocean in Atlantic History: Maritime Communities and Marine Ecology in the Northwest Atlantic, 1500–1800,” </w:t>
      </w:r>
      <w:r>
        <w:rPr>
          <w:rFonts w:ascii="Times" w:hAnsi="Times"/>
          <w:i/>
          <w:iCs/>
          <w:sz w:val="18"/>
          <w:szCs w:val="18"/>
        </w:rPr>
        <w:t>American Historical Review</w:t>
      </w:r>
      <w:r>
        <w:rPr>
          <w:rFonts w:ascii="Times" w:hAnsi="Times"/>
          <w:sz w:val="18"/>
          <w:szCs w:val="18"/>
        </w:rPr>
        <w:t xml:space="preserve">, 113 (2008), 19–47. </w:t>
      </w:r>
    </w:p>
    <w:p w14:paraId="2CD9725D" w14:textId="77777777" w:rsidR="00695A98" w:rsidRDefault="00695A98" w:rsidP="00695A98">
      <w:pPr>
        <w:pStyle w:val="NormalWeb"/>
      </w:pPr>
      <w:r>
        <w:rPr>
          <w:rFonts w:ascii="Times" w:hAnsi="Times"/>
          <w:sz w:val="18"/>
          <w:szCs w:val="18"/>
        </w:rPr>
        <w:t xml:space="preserve">2. Denis Cosgrove, “Mapping the World,” in James R. Akerman and Robert W. </w:t>
      </w:r>
      <w:proofErr w:type="spellStart"/>
      <w:r>
        <w:rPr>
          <w:rFonts w:ascii="Times" w:hAnsi="Times"/>
          <w:sz w:val="18"/>
          <w:szCs w:val="18"/>
        </w:rPr>
        <w:t>Karrow</w:t>
      </w:r>
      <w:proofErr w:type="spellEnd"/>
      <w:r>
        <w:rPr>
          <w:rFonts w:ascii="Times" w:hAnsi="Times"/>
          <w:sz w:val="18"/>
          <w:szCs w:val="18"/>
        </w:rPr>
        <w:t xml:space="preserve">, Jr., eds., </w:t>
      </w:r>
      <w:r>
        <w:rPr>
          <w:rFonts w:ascii="Times" w:hAnsi="Times"/>
          <w:i/>
          <w:iCs/>
          <w:sz w:val="18"/>
          <w:szCs w:val="18"/>
        </w:rPr>
        <w:t xml:space="preserve">Maps: Finding Our Place in the World </w:t>
      </w:r>
      <w:r>
        <w:rPr>
          <w:rFonts w:ascii="Times" w:hAnsi="Times"/>
          <w:sz w:val="18"/>
          <w:szCs w:val="18"/>
        </w:rPr>
        <w:t xml:space="preserve">(Chicago: University of Chicago Press, 2007), pp. 78–88; Valerie I. J. Flint, </w:t>
      </w:r>
      <w:r>
        <w:rPr>
          <w:rFonts w:ascii="Times" w:hAnsi="Times"/>
          <w:i/>
          <w:iCs/>
          <w:sz w:val="18"/>
          <w:szCs w:val="18"/>
        </w:rPr>
        <w:t xml:space="preserve">The Imaginative Landscape of Christopher Columbus </w:t>
      </w:r>
      <w:r>
        <w:rPr>
          <w:rFonts w:ascii="Times" w:hAnsi="Times"/>
          <w:sz w:val="18"/>
          <w:szCs w:val="18"/>
        </w:rPr>
        <w:t xml:space="preserve">(Princeton: Princeton University Press, 1992), </w:t>
      </w:r>
      <w:proofErr w:type="spellStart"/>
      <w:r>
        <w:rPr>
          <w:rFonts w:ascii="Times" w:hAnsi="Times"/>
          <w:sz w:val="18"/>
          <w:szCs w:val="18"/>
        </w:rPr>
        <w:t>ch.</w:t>
      </w:r>
      <w:proofErr w:type="spellEnd"/>
      <w:r>
        <w:rPr>
          <w:rFonts w:ascii="Times" w:hAnsi="Times"/>
          <w:sz w:val="18"/>
          <w:szCs w:val="18"/>
        </w:rPr>
        <w:t xml:space="preserve"> 1. </w:t>
      </w:r>
    </w:p>
    <w:p w14:paraId="2D0518A7" w14:textId="77777777" w:rsidR="00695A98" w:rsidRDefault="00695A98" w:rsidP="00695A98">
      <w:pPr>
        <w:pStyle w:val="NormalWeb"/>
      </w:pPr>
      <w:r>
        <w:rPr>
          <w:rFonts w:ascii="Times" w:hAnsi="Times"/>
          <w:sz w:val="18"/>
          <w:szCs w:val="18"/>
        </w:rPr>
        <w:t xml:space="preserve">3. </w:t>
      </w:r>
      <w:proofErr w:type="gramStart"/>
      <w:r>
        <w:rPr>
          <w:rFonts w:ascii="Times" w:hAnsi="Times"/>
          <w:sz w:val="18"/>
          <w:szCs w:val="18"/>
        </w:rPr>
        <w:t>BarryCunliffe,</w:t>
      </w:r>
      <w:r>
        <w:rPr>
          <w:rFonts w:ascii="Times" w:hAnsi="Times"/>
          <w:i/>
          <w:iCs/>
          <w:sz w:val="18"/>
          <w:szCs w:val="18"/>
        </w:rPr>
        <w:t>FacingtheOcean</w:t>
      </w:r>
      <w:proofErr w:type="gramEnd"/>
      <w:r>
        <w:rPr>
          <w:rFonts w:ascii="Times" w:hAnsi="Times"/>
          <w:i/>
          <w:iCs/>
          <w:sz w:val="18"/>
          <w:szCs w:val="18"/>
        </w:rPr>
        <w:t xml:space="preserve">:TheAtlanticandItsPeoples,8000BC–AD 1500 </w:t>
      </w:r>
      <w:r>
        <w:rPr>
          <w:rFonts w:ascii="Times" w:hAnsi="Times"/>
          <w:sz w:val="18"/>
          <w:szCs w:val="18"/>
        </w:rPr>
        <w:t xml:space="preserve">(New York: Oxford University Press, 2001), p. 2. </w:t>
      </w:r>
    </w:p>
    <w:p w14:paraId="378F815B" w14:textId="77777777" w:rsidR="00695A98" w:rsidRDefault="00695A98" w:rsidP="00695A98">
      <w:pPr>
        <w:pStyle w:val="NormalWeb"/>
      </w:pPr>
      <w:r>
        <w:rPr>
          <w:rFonts w:ascii="Times" w:hAnsi="Times"/>
          <w:sz w:val="18"/>
          <w:szCs w:val="18"/>
        </w:rPr>
        <w:t xml:space="preserve">4. Cunliffe, </w:t>
      </w:r>
      <w:r>
        <w:rPr>
          <w:rFonts w:ascii="Times" w:hAnsi="Times"/>
          <w:i/>
          <w:iCs/>
          <w:sz w:val="18"/>
          <w:szCs w:val="18"/>
        </w:rPr>
        <w:t>Facing the Ocean</w:t>
      </w:r>
      <w:r>
        <w:rPr>
          <w:rFonts w:ascii="Times" w:hAnsi="Times"/>
          <w:sz w:val="18"/>
          <w:szCs w:val="18"/>
        </w:rPr>
        <w:t xml:space="preserve">, pp. 88–99; John B. </w:t>
      </w:r>
      <w:proofErr w:type="spellStart"/>
      <w:r>
        <w:rPr>
          <w:rFonts w:ascii="Times" w:hAnsi="Times"/>
          <w:sz w:val="18"/>
          <w:szCs w:val="18"/>
        </w:rPr>
        <w:t>Hattendorf</w:t>
      </w:r>
      <w:proofErr w:type="spellEnd"/>
      <w:r>
        <w:rPr>
          <w:rFonts w:ascii="Times" w:hAnsi="Times"/>
          <w:sz w:val="18"/>
          <w:szCs w:val="18"/>
        </w:rPr>
        <w:t xml:space="preserve">, </w:t>
      </w:r>
      <w:r>
        <w:rPr>
          <w:rFonts w:ascii="Times" w:hAnsi="Times"/>
          <w:i/>
          <w:iCs/>
          <w:sz w:val="18"/>
          <w:szCs w:val="18"/>
        </w:rPr>
        <w:t xml:space="preserve">“The Boundless Deep...”: The European Conquest of the Oceans, 1450 to 1840 </w:t>
      </w:r>
      <w:r>
        <w:rPr>
          <w:rFonts w:ascii="Times" w:hAnsi="Times"/>
          <w:sz w:val="18"/>
          <w:szCs w:val="18"/>
        </w:rPr>
        <w:t xml:space="preserve">(Providence, R.I.: John Carter Brown Library, 2003), pp. 4–5. </w:t>
      </w:r>
    </w:p>
    <w:p w14:paraId="17624CDD" w14:textId="77777777" w:rsidR="00695A98" w:rsidRDefault="00695A98" w:rsidP="00695A98">
      <w:pPr>
        <w:pStyle w:val="NormalWeb"/>
      </w:pPr>
      <w:r>
        <w:rPr>
          <w:rFonts w:ascii="Times" w:hAnsi="Times"/>
          <w:sz w:val="18"/>
          <w:szCs w:val="18"/>
        </w:rPr>
        <w:t xml:space="preserve">5. Kirsten A. </w:t>
      </w:r>
      <w:proofErr w:type="spellStart"/>
      <w:r>
        <w:rPr>
          <w:rFonts w:ascii="Times" w:hAnsi="Times"/>
          <w:sz w:val="18"/>
          <w:szCs w:val="18"/>
        </w:rPr>
        <w:t>Seaver</w:t>
      </w:r>
      <w:proofErr w:type="spellEnd"/>
      <w:r>
        <w:rPr>
          <w:rFonts w:ascii="Times" w:hAnsi="Times"/>
          <w:sz w:val="18"/>
          <w:szCs w:val="18"/>
        </w:rPr>
        <w:t xml:space="preserve">, </w:t>
      </w:r>
      <w:r>
        <w:rPr>
          <w:rFonts w:ascii="Times" w:hAnsi="Times"/>
          <w:i/>
          <w:iCs/>
          <w:sz w:val="18"/>
          <w:szCs w:val="18"/>
        </w:rPr>
        <w:t xml:space="preserve">The Frozen Echo: Greenland and the Exploration of North America, ca. A.D. 1000–1500 </w:t>
      </w:r>
      <w:r>
        <w:rPr>
          <w:rFonts w:ascii="Times" w:hAnsi="Times"/>
          <w:sz w:val="18"/>
          <w:szCs w:val="18"/>
        </w:rPr>
        <w:t xml:space="preserve">(Stanford, Calif.: Stanford University Press, 1996), pp. 34–35, 179–182, 193–198, 214–229, 264–311; David Harris Sacks, </w:t>
      </w:r>
      <w:r>
        <w:rPr>
          <w:rFonts w:ascii="Times" w:hAnsi="Times"/>
          <w:i/>
          <w:iCs/>
          <w:sz w:val="18"/>
          <w:szCs w:val="18"/>
        </w:rPr>
        <w:t xml:space="preserve">The Widening Gate: Bristol and the Atlantic Economy, 1450–1700 </w:t>
      </w:r>
      <w:r>
        <w:rPr>
          <w:rFonts w:ascii="Times" w:hAnsi="Times"/>
          <w:sz w:val="18"/>
          <w:szCs w:val="18"/>
        </w:rPr>
        <w:t xml:space="preserve">(Berkeley: University of California Press, 1991); Flint, </w:t>
      </w:r>
      <w:r>
        <w:rPr>
          <w:rFonts w:ascii="Times" w:hAnsi="Times"/>
          <w:i/>
          <w:iCs/>
          <w:sz w:val="18"/>
          <w:szCs w:val="18"/>
        </w:rPr>
        <w:t>Imaginative Landscape of Christopher Columbus</w:t>
      </w:r>
      <w:r>
        <w:rPr>
          <w:rFonts w:ascii="Times" w:hAnsi="Times"/>
          <w:sz w:val="18"/>
          <w:szCs w:val="18"/>
        </w:rPr>
        <w:t xml:space="preserve">, </w:t>
      </w:r>
      <w:proofErr w:type="spellStart"/>
      <w:r>
        <w:rPr>
          <w:rFonts w:ascii="Times" w:hAnsi="Times"/>
          <w:sz w:val="18"/>
          <w:szCs w:val="18"/>
        </w:rPr>
        <w:t>ch.</w:t>
      </w:r>
      <w:proofErr w:type="spellEnd"/>
      <w:r>
        <w:rPr>
          <w:rFonts w:ascii="Times" w:hAnsi="Times"/>
          <w:sz w:val="18"/>
          <w:szCs w:val="18"/>
        </w:rPr>
        <w:t xml:space="preserve"> 3. </w:t>
      </w:r>
    </w:p>
    <w:p w14:paraId="312B74BB" w14:textId="77777777" w:rsidR="00695A98" w:rsidRDefault="00695A98" w:rsidP="00695A98">
      <w:pPr>
        <w:pStyle w:val="NormalWeb"/>
      </w:pPr>
      <w:r>
        <w:rPr>
          <w:rFonts w:ascii="Times" w:hAnsi="Times"/>
          <w:sz w:val="18"/>
          <w:szCs w:val="18"/>
        </w:rPr>
        <w:lastRenderedPageBreak/>
        <w:t xml:space="preserve">6. Flint, </w:t>
      </w:r>
      <w:r>
        <w:rPr>
          <w:rFonts w:ascii="Times" w:hAnsi="Times"/>
          <w:i/>
          <w:iCs/>
          <w:sz w:val="18"/>
          <w:szCs w:val="18"/>
        </w:rPr>
        <w:t>Imaginative Landscape of Christopher Columbus</w:t>
      </w:r>
      <w:r>
        <w:rPr>
          <w:rFonts w:ascii="Times" w:hAnsi="Times"/>
          <w:sz w:val="18"/>
          <w:szCs w:val="18"/>
        </w:rPr>
        <w:t xml:space="preserve">, passim. </w:t>
      </w:r>
    </w:p>
    <w:p w14:paraId="6B29F77B" w14:textId="77777777" w:rsidR="00695A98" w:rsidRDefault="00695A98" w:rsidP="00695A98">
      <w:pPr>
        <w:pStyle w:val="NormalWeb"/>
      </w:pPr>
      <w:r>
        <w:rPr>
          <w:rFonts w:ascii="Times" w:hAnsi="Times"/>
          <w:sz w:val="18"/>
          <w:szCs w:val="18"/>
        </w:rPr>
        <w:t xml:space="preserve">7. J. H. Parry, </w:t>
      </w:r>
      <w:r>
        <w:rPr>
          <w:rFonts w:ascii="Times" w:hAnsi="Times"/>
          <w:i/>
          <w:iCs/>
          <w:sz w:val="18"/>
          <w:szCs w:val="18"/>
        </w:rPr>
        <w:t xml:space="preserve">The Spanish Seaborne Empire </w:t>
      </w:r>
      <w:r>
        <w:rPr>
          <w:rFonts w:ascii="Times" w:hAnsi="Times"/>
          <w:sz w:val="18"/>
          <w:szCs w:val="18"/>
        </w:rPr>
        <w:t xml:space="preserve">(New York: Knopf, 1966), </w:t>
      </w:r>
      <w:proofErr w:type="spellStart"/>
      <w:r>
        <w:rPr>
          <w:rFonts w:ascii="Times" w:hAnsi="Times"/>
          <w:sz w:val="18"/>
          <w:szCs w:val="18"/>
        </w:rPr>
        <w:t>chs</w:t>
      </w:r>
      <w:proofErr w:type="spellEnd"/>
      <w:r>
        <w:rPr>
          <w:rFonts w:ascii="Times" w:hAnsi="Times"/>
          <w:sz w:val="18"/>
          <w:szCs w:val="18"/>
        </w:rPr>
        <w:t xml:space="preserve">. 1, 6; Ricardo </w:t>
      </w:r>
      <w:proofErr w:type="spellStart"/>
      <w:r>
        <w:rPr>
          <w:rFonts w:ascii="Times" w:hAnsi="Times"/>
          <w:sz w:val="18"/>
          <w:szCs w:val="18"/>
        </w:rPr>
        <w:t>Cerezo</w:t>
      </w:r>
      <w:proofErr w:type="spellEnd"/>
      <w:r>
        <w:rPr>
          <w:rFonts w:ascii="Times" w:hAnsi="Times"/>
          <w:sz w:val="18"/>
          <w:szCs w:val="18"/>
        </w:rPr>
        <w:t xml:space="preserve"> </w:t>
      </w:r>
      <w:proofErr w:type="spellStart"/>
      <w:r>
        <w:rPr>
          <w:rFonts w:ascii="Times" w:hAnsi="Times"/>
          <w:sz w:val="18"/>
          <w:szCs w:val="18"/>
        </w:rPr>
        <w:t>Martínez</w:t>
      </w:r>
      <w:proofErr w:type="spellEnd"/>
      <w:r>
        <w:rPr>
          <w:rFonts w:ascii="Times" w:hAnsi="Times"/>
          <w:sz w:val="18"/>
          <w:szCs w:val="18"/>
        </w:rPr>
        <w:t xml:space="preserve">, </w:t>
      </w:r>
      <w:r>
        <w:rPr>
          <w:rFonts w:ascii="Times" w:hAnsi="Times"/>
          <w:i/>
          <w:iCs/>
          <w:sz w:val="18"/>
          <w:szCs w:val="18"/>
        </w:rPr>
        <w:t xml:space="preserve">La </w:t>
      </w:r>
      <w:proofErr w:type="spellStart"/>
      <w:r>
        <w:rPr>
          <w:rFonts w:ascii="Times" w:hAnsi="Times"/>
          <w:i/>
          <w:iCs/>
          <w:sz w:val="18"/>
          <w:szCs w:val="18"/>
        </w:rPr>
        <w:t>cartografía</w:t>
      </w:r>
      <w:proofErr w:type="spellEnd"/>
      <w:r>
        <w:rPr>
          <w:rFonts w:ascii="Times" w:hAnsi="Times"/>
          <w:i/>
          <w:iCs/>
          <w:sz w:val="18"/>
          <w:szCs w:val="18"/>
        </w:rPr>
        <w:t xml:space="preserve"> </w:t>
      </w:r>
      <w:proofErr w:type="spellStart"/>
      <w:r>
        <w:rPr>
          <w:rFonts w:ascii="Times" w:hAnsi="Times"/>
          <w:i/>
          <w:iCs/>
          <w:sz w:val="18"/>
          <w:szCs w:val="18"/>
        </w:rPr>
        <w:t>náutica</w:t>
      </w:r>
      <w:proofErr w:type="spellEnd"/>
      <w:r>
        <w:rPr>
          <w:rFonts w:ascii="Times" w:hAnsi="Times"/>
          <w:i/>
          <w:iCs/>
          <w:sz w:val="18"/>
          <w:szCs w:val="18"/>
        </w:rPr>
        <w:t xml:space="preserve"> </w:t>
      </w:r>
      <w:proofErr w:type="spellStart"/>
      <w:r>
        <w:rPr>
          <w:rFonts w:ascii="Times" w:hAnsi="Times"/>
          <w:i/>
          <w:iCs/>
          <w:sz w:val="18"/>
          <w:szCs w:val="18"/>
        </w:rPr>
        <w:t>española</w:t>
      </w:r>
      <w:proofErr w:type="spellEnd"/>
      <w:r>
        <w:rPr>
          <w:rFonts w:ascii="Times" w:hAnsi="Times"/>
          <w:i/>
          <w:iCs/>
          <w:sz w:val="18"/>
          <w:szCs w:val="18"/>
        </w:rPr>
        <w:t xml:space="preserve"> </w:t>
      </w:r>
      <w:proofErr w:type="spellStart"/>
      <w:r>
        <w:rPr>
          <w:rFonts w:ascii="Times" w:hAnsi="Times"/>
          <w:i/>
          <w:iCs/>
          <w:sz w:val="18"/>
          <w:szCs w:val="18"/>
        </w:rPr>
        <w:t>en</w:t>
      </w:r>
      <w:proofErr w:type="spellEnd"/>
      <w:r>
        <w:rPr>
          <w:rFonts w:ascii="Times" w:hAnsi="Times"/>
          <w:i/>
          <w:iCs/>
          <w:sz w:val="18"/>
          <w:szCs w:val="18"/>
        </w:rPr>
        <w:t xml:space="preserve"> los siglos XIV, XV, y XVI </w:t>
      </w:r>
      <w:r>
        <w:rPr>
          <w:rFonts w:ascii="Times" w:hAnsi="Times"/>
          <w:sz w:val="18"/>
          <w:szCs w:val="18"/>
        </w:rPr>
        <w:t xml:space="preserve">(Madrid: C.S.I.C., 1994); </w:t>
      </w:r>
      <w:proofErr w:type="spellStart"/>
      <w:r>
        <w:rPr>
          <w:rFonts w:ascii="Times" w:hAnsi="Times"/>
          <w:sz w:val="18"/>
          <w:szCs w:val="18"/>
        </w:rPr>
        <w:t>Hattendorf</w:t>
      </w:r>
      <w:proofErr w:type="spellEnd"/>
      <w:r>
        <w:rPr>
          <w:rFonts w:ascii="Times" w:hAnsi="Times"/>
          <w:sz w:val="18"/>
          <w:szCs w:val="18"/>
        </w:rPr>
        <w:t xml:space="preserve">, </w:t>
      </w:r>
      <w:r>
        <w:rPr>
          <w:rFonts w:ascii="Times" w:hAnsi="Times"/>
          <w:i/>
          <w:iCs/>
          <w:sz w:val="18"/>
          <w:szCs w:val="18"/>
        </w:rPr>
        <w:t xml:space="preserve">“Boundless Deep,” </w:t>
      </w:r>
      <w:r>
        <w:rPr>
          <w:rFonts w:ascii="Times" w:hAnsi="Times"/>
          <w:sz w:val="18"/>
          <w:szCs w:val="18"/>
        </w:rPr>
        <w:t xml:space="preserve">pp. 5, 20. </w:t>
      </w:r>
    </w:p>
    <w:p w14:paraId="440829D0" w14:textId="77777777" w:rsidR="00695A98" w:rsidRDefault="00695A98" w:rsidP="00695A98">
      <w:pPr>
        <w:pStyle w:val="NormalWeb"/>
      </w:pPr>
      <w:r>
        <w:rPr>
          <w:rFonts w:ascii="Times" w:hAnsi="Times"/>
          <w:sz w:val="18"/>
          <w:szCs w:val="18"/>
        </w:rPr>
        <w:t xml:space="preserve">8. Johannes </w:t>
      </w:r>
      <w:proofErr w:type="spellStart"/>
      <w:r>
        <w:rPr>
          <w:rFonts w:ascii="Times" w:hAnsi="Times"/>
          <w:sz w:val="18"/>
          <w:szCs w:val="18"/>
        </w:rPr>
        <w:t>Ruysch</w:t>
      </w:r>
      <w:proofErr w:type="spellEnd"/>
      <w:r>
        <w:rPr>
          <w:rFonts w:ascii="Times" w:hAnsi="Times"/>
          <w:sz w:val="18"/>
          <w:szCs w:val="18"/>
        </w:rPr>
        <w:t xml:space="preserve"> world map, in Claudius Ptolemy, </w:t>
      </w:r>
      <w:proofErr w:type="spellStart"/>
      <w:r>
        <w:rPr>
          <w:rFonts w:ascii="Times" w:hAnsi="Times"/>
          <w:i/>
          <w:iCs/>
          <w:sz w:val="18"/>
          <w:szCs w:val="18"/>
        </w:rPr>
        <w:t>Geographia</w:t>
      </w:r>
      <w:proofErr w:type="spellEnd"/>
      <w:r>
        <w:rPr>
          <w:rFonts w:ascii="Times" w:hAnsi="Times"/>
          <w:sz w:val="18"/>
          <w:szCs w:val="18"/>
        </w:rPr>
        <w:t xml:space="preserve">, ed. Marcus </w:t>
      </w:r>
      <w:proofErr w:type="spellStart"/>
      <w:r>
        <w:rPr>
          <w:rFonts w:ascii="Times" w:hAnsi="Times"/>
          <w:sz w:val="18"/>
          <w:szCs w:val="18"/>
        </w:rPr>
        <w:t>Beneventanus</w:t>
      </w:r>
      <w:proofErr w:type="spellEnd"/>
      <w:r>
        <w:rPr>
          <w:rFonts w:ascii="Times" w:hAnsi="Times"/>
          <w:sz w:val="18"/>
          <w:szCs w:val="18"/>
        </w:rPr>
        <w:t xml:space="preserve"> and Johannes Cota (Rome, 1508). </w:t>
      </w:r>
    </w:p>
    <w:p w14:paraId="0838DB6B" w14:textId="77777777" w:rsidR="00695A98" w:rsidRDefault="00695A98" w:rsidP="00695A98">
      <w:pPr>
        <w:pStyle w:val="NormalWeb"/>
      </w:pPr>
      <w:r>
        <w:rPr>
          <w:rFonts w:ascii="Times" w:hAnsi="Times"/>
          <w:sz w:val="18"/>
          <w:szCs w:val="18"/>
        </w:rPr>
        <w:t xml:space="preserve">9. </w:t>
      </w:r>
      <w:proofErr w:type="gramStart"/>
      <w:r>
        <w:rPr>
          <w:rFonts w:ascii="Times" w:hAnsi="Times"/>
          <w:sz w:val="18"/>
          <w:szCs w:val="18"/>
        </w:rPr>
        <w:t>MartinW.Lewis,“</w:t>
      </w:r>
      <w:proofErr w:type="gramEnd"/>
      <w:r>
        <w:rPr>
          <w:rFonts w:ascii="Times" w:hAnsi="Times"/>
          <w:sz w:val="18"/>
          <w:szCs w:val="18"/>
        </w:rPr>
        <w:t>DividingtheOceanSea,”</w:t>
      </w:r>
      <w:r>
        <w:rPr>
          <w:rFonts w:ascii="Times" w:hAnsi="Times"/>
          <w:i/>
          <w:iCs/>
          <w:sz w:val="18"/>
          <w:szCs w:val="18"/>
        </w:rPr>
        <w:t>GeographicalReview</w:t>
      </w:r>
      <w:r>
        <w:rPr>
          <w:rFonts w:ascii="Times" w:hAnsi="Times"/>
          <w:sz w:val="18"/>
          <w:szCs w:val="18"/>
        </w:rPr>
        <w:t xml:space="preserve">89(1999): 188–214; Ian K. Steele, </w:t>
      </w:r>
      <w:r>
        <w:rPr>
          <w:rFonts w:ascii="Times" w:hAnsi="Times"/>
          <w:i/>
          <w:iCs/>
          <w:sz w:val="18"/>
          <w:szCs w:val="18"/>
        </w:rPr>
        <w:t xml:space="preserve">The English Atlantic, 1675–1740: An Exploration of Com- </w:t>
      </w:r>
      <w:proofErr w:type="spellStart"/>
      <w:r>
        <w:rPr>
          <w:rFonts w:ascii="Times" w:hAnsi="Times"/>
          <w:i/>
          <w:iCs/>
          <w:sz w:val="18"/>
          <w:szCs w:val="18"/>
        </w:rPr>
        <w:t>munication</w:t>
      </w:r>
      <w:proofErr w:type="spellEnd"/>
      <w:r>
        <w:rPr>
          <w:rFonts w:ascii="Times" w:hAnsi="Times"/>
          <w:i/>
          <w:iCs/>
          <w:sz w:val="18"/>
          <w:szCs w:val="18"/>
        </w:rPr>
        <w:t xml:space="preserve"> and Community </w:t>
      </w:r>
      <w:r>
        <w:rPr>
          <w:rFonts w:ascii="Times" w:hAnsi="Times"/>
          <w:sz w:val="18"/>
          <w:szCs w:val="18"/>
        </w:rPr>
        <w:t xml:space="preserve">(New York: Oxford University Press, 1986), pp. 14–15. </w:t>
      </w:r>
    </w:p>
    <w:p w14:paraId="08465CF5" w14:textId="77777777" w:rsidR="00695A98" w:rsidRDefault="00695A98" w:rsidP="00695A98">
      <w:pPr>
        <w:pStyle w:val="NormalWeb"/>
      </w:pPr>
      <w:r>
        <w:rPr>
          <w:rFonts w:ascii="Times" w:hAnsi="Times"/>
          <w:sz w:val="18"/>
          <w:szCs w:val="18"/>
        </w:rPr>
        <w:t xml:space="preserve">10. Irving I. Leonard, “The Spanish Re-exploration of the Gulf Coast in 1686,” </w:t>
      </w:r>
      <w:r>
        <w:rPr>
          <w:rFonts w:ascii="Times" w:hAnsi="Times"/>
          <w:i/>
          <w:iCs/>
          <w:sz w:val="18"/>
          <w:szCs w:val="18"/>
        </w:rPr>
        <w:t xml:space="preserve">Mississippi Valley Historical </w:t>
      </w:r>
      <w:r>
        <w:rPr>
          <w:rFonts w:ascii="Times" w:hAnsi="Times"/>
          <w:sz w:val="18"/>
          <w:szCs w:val="18"/>
        </w:rPr>
        <w:t xml:space="preserve">Review 22 (1936): 549; Joyce E. Chaplin, </w:t>
      </w:r>
      <w:r>
        <w:rPr>
          <w:rFonts w:ascii="Times" w:hAnsi="Times"/>
          <w:i/>
          <w:iCs/>
          <w:sz w:val="18"/>
          <w:szCs w:val="18"/>
        </w:rPr>
        <w:t xml:space="preserve">Subject Mat- </w:t>
      </w:r>
      <w:proofErr w:type="spellStart"/>
      <w:r>
        <w:rPr>
          <w:rFonts w:ascii="Times" w:hAnsi="Times"/>
          <w:i/>
          <w:iCs/>
          <w:sz w:val="18"/>
          <w:szCs w:val="18"/>
        </w:rPr>
        <w:t>ter</w:t>
      </w:r>
      <w:proofErr w:type="spellEnd"/>
      <w:r>
        <w:rPr>
          <w:rFonts w:ascii="Times" w:hAnsi="Times"/>
          <w:i/>
          <w:iCs/>
          <w:sz w:val="18"/>
          <w:szCs w:val="18"/>
        </w:rPr>
        <w:t xml:space="preserve">: Technology, the Body, and Science on the Anglo-American Frontier, 1500–1676 </w:t>
      </w:r>
      <w:r>
        <w:rPr>
          <w:rFonts w:ascii="Times" w:hAnsi="Times"/>
          <w:sz w:val="18"/>
          <w:szCs w:val="18"/>
        </w:rPr>
        <w:t xml:space="preserve">(Cambridge, Mass.: Harvard University Press, 2001), p. 70; Daniel Vickers, “The </w:t>
      </w:r>
    </w:p>
    <w:p w14:paraId="0E68E89E" w14:textId="77777777" w:rsidR="00695A98" w:rsidRDefault="00695A98" w:rsidP="00695A98">
      <w:pPr>
        <w:pStyle w:val="NormalWeb"/>
      </w:pPr>
      <w:r>
        <w:rPr>
          <w:rFonts w:ascii="Helvetica" w:hAnsi="Helvetica"/>
          <w:sz w:val="12"/>
          <w:szCs w:val="12"/>
        </w:rPr>
        <w:t xml:space="preserve">Greene, J. P., &amp; Morgan, P. D. (Eds.). (2008). Atlantic </w:t>
      </w:r>
      <w:proofErr w:type="gramStart"/>
      <w:r>
        <w:rPr>
          <w:rFonts w:ascii="Helvetica" w:hAnsi="Helvetica"/>
          <w:sz w:val="12"/>
          <w:szCs w:val="12"/>
        </w:rPr>
        <w:t>history :</w:t>
      </w:r>
      <w:proofErr w:type="gramEnd"/>
      <w:r>
        <w:rPr>
          <w:rFonts w:ascii="Helvetica" w:hAnsi="Helvetica"/>
          <w:sz w:val="12"/>
          <w:szCs w:val="12"/>
        </w:rPr>
        <w:t xml:space="preserve"> A critical appraisal. ProQuest </w:t>
      </w:r>
      <w:proofErr w:type="spellStart"/>
      <w:r>
        <w:rPr>
          <w:rFonts w:ascii="Helvetica" w:hAnsi="Helvetica"/>
          <w:sz w:val="12"/>
          <w:szCs w:val="12"/>
        </w:rPr>
        <w:t>Ebook</w:t>
      </w:r>
      <w:proofErr w:type="spellEnd"/>
      <w:r>
        <w:rPr>
          <w:rFonts w:ascii="Helvetica" w:hAnsi="Helvetica"/>
          <w:sz w:val="12"/>
          <w:szCs w:val="12"/>
        </w:rPr>
        <w:t xml:space="preserve"> Central &lt;a onclick=</w:t>
      </w:r>
      <w:proofErr w:type="spellStart"/>
      <w:proofErr w:type="gramStart"/>
      <w:r>
        <w:rPr>
          <w:rFonts w:ascii="Helvetica" w:hAnsi="Helvetica"/>
          <w:sz w:val="12"/>
          <w:szCs w:val="12"/>
        </w:rPr>
        <w:t>window.open</w:t>
      </w:r>
      <w:proofErr w:type="spellEnd"/>
      <w:proofErr w:type="gramEnd"/>
      <w:r>
        <w:rPr>
          <w:rFonts w:ascii="Helvetica" w:hAnsi="Helvetica"/>
          <w:sz w:val="12"/>
          <w:szCs w:val="12"/>
        </w:rPr>
        <w:t>('http://</w:t>
      </w:r>
      <w:proofErr w:type="spellStart"/>
      <w:r>
        <w:rPr>
          <w:rFonts w:ascii="Helvetica" w:hAnsi="Helvetica"/>
          <w:sz w:val="12"/>
          <w:szCs w:val="12"/>
        </w:rPr>
        <w:t>ebookcentral.proquest.com','_blank</w:t>
      </w:r>
      <w:proofErr w:type="spellEnd"/>
      <w:r>
        <w:rPr>
          <w:rFonts w:ascii="Helvetica" w:hAnsi="Helvetica"/>
          <w:sz w:val="12"/>
          <w:szCs w:val="12"/>
        </w:rPr>
        <w:t xml:space="preserve">') </w:t>
      </w:r>
      <w:proofErr w:type="spellStart"/>
      <w:r>
        <w:rPr>
          <w:rFonts w:ascii="Helvetica" w:hAnsi="Helvetica"/>
          <w:sz w:val="12"/>
          <w:szCs w:val="12"/>
        </w:rPr>
        <w:t>href</w:t>
      </w:r>
      <w:proofErr w:type="spellEnd"/>
      <w:r>
        <w:rPr>
          <w:rFonts w:ascii="Helvetica" w:hAnsi="Helvetica"/>
          <w:sz w:val="12"/>
          <w:szCs w:val="12"/>
        </w:rPr>
        <w:t xml:space="preserve">='http://ebookcentral.proquest.com' target='_blank' style='cursor: p </w:t>
      </w:r>
    </w:p>
    <w:p w14:paraId="69B09F0E" w14:textId="77777777" w:rsidR="00695A98" w:rsidRDefault="00695A98" w:rsidP="00695A98">
      <w:pPr>
        <w:pStyle w:val="NormalWeb"/>
      </w:pPr>
      <w:r>
        <w:rPr>
          <w:rFonts w:ascii="Helvetica" w:hAnsi="Helvetica"/>
          <w:sz w:val="12"/>
          <w:szCs w:val="12"/>
        </w:rPr>
        <w:t xml:space="preserve">Created from </w:t>
      </w:r>
      <w:proofErr w:type="spellStart"/>
      <w:r>
        <w:rPr>
          <w:rFonts w:ascii="Helvetica" w:hAnsi="Helvetica"/>
          <w:sz w:val="12"/>
          <w:szCs w:val="12"/>
        </w:rPr>
        <w:t>gsu</w:t>
      </w:r>
      <w:proofErr w:type="spellEnd"/>
      <w:r>
        <w:rPr>
          <w:rFonts w:ascii="Helvetica" w:hAnsi="Helvetica"/>
          <w:sz w:val="12"/>
          <w:szCs w:val="12"/>
        </w:rPr>
        <w:t xml:space="preserve"> on 2021-10-03 23:20:11. </w:t>
      </w:r>
    </w:p>
    <w:p w14:paraId="37D2DBFD" w14:textId="77777777" w:rsidR="00695A98" w:rsidRDefault="00695A98" w:rsidP="00695A98">
      <w:pPr>
        <w:pStyle w:val="NormalWeb"/>
      </w:pPr>
      <w:r>
        <w:rPr>
          <w:rFonts w:ascii="Helvetica" w:hAnsi="Helvetica"/>
          <w:sz w:val="12"/>
          <w:szCs w:val="12"/>
        </w:rPr>
        <w:t xml:space="preserve">Copyright © 2008. Oxford University Press, Incorporated. All rights reserved. </w:t>
      </w:r>
    </w:p>
    <w:p w14:paraId="2F4E5513" w14:textId="77777777" w:rsidR="00695A98" w:rsidRDefault="00695A98" w:rsidP="00695A98">
      <w:pPr>
        <w:pStyle w:val="NormalWeb"/>
      </w:pPr>
      <w:r>
        <w:rPr>
          <w:rFonts w:ascii="Times" w:hAnsi="Times"/>
          <w:sz w:val="18"/>
          <w:szCs w:val="18"/>
        </w:rPr>
        <w:t xml:space="preserve">50 </w:t>
      </w:r>
      <w:r>
        <w:rPr>
          <w:rFonts w:ascii="Times" w:hAnsi="Times"/>
          <w:i/>
          <w:iCs/>
          <w:sz w:val="18"/>
          <w:szCs w:val="18"/>
        </w:rPr>
        <w:t xml:space="preserve">Atlantic History </w:t>
      </w:r>
    </w:p>
    <w:p w14:paraId="6B227D69" w14:textId="77777777" w:rsidR="00695A98" w:rsidRDefault="00695A98" w:rsidP="00695A98">
      <w:pPr>
        <w:pStyle w:val="NormalWeb"/>
      </w:pPr>
      <w:r>
        <w:rPr>
          <w:rFonts w:ascii="Times" w:hAnsi="Times"/>
          <w:sz w:val="18"/>
          <w:szCs w:val="18"/>
        </w:rPr>
        <w:t xml:space="preserve">First Whalemen of Nantucket,” </w:t>
      </w:r>
      <w:r>
        <w:rPr>
          <w:rFonts w:ascii="Times" w:hAnsi="Times"/>
          <w:i/>
          <w:iCs/>
          <w:sz w:val="18"/>
          <w:szCs w:val="18"/>
        </w:rPr>
        <w:t xml:space="preserve">William and Mary Quarterly </w:t>
      </w:r>
      <w:r>
        <w:rPr>
          <w:rFonts w:ascii="Times" w:hAnsi="Times"/>
          <w:sz w:val="18"/>
          <w:szCs w:val="18"/>
        </w:rPr>
        <w:t xml:space="preserve">3rd ser., 40 (1983): 560–583. </w:t>
      </w:r>
    </w:p>
    <w:p w14:paraId="2532183D" w14:textId="77777777" w:rsidR="00695A98" w:rsidRDefault="00695A98" w:rsidP="00695A98">
      <w:pPr>
        <w:pStyle w:val="NormalWeb"/>
      </w:pPr>
      <w:r>
        <w:rPr>
          <w:rFonts w:ascii="Times" w:hAnsi="Times"/>
          <w:sz w:val="18"/>
          <w:szCs w:val="18"/>
        </w:rPr>
        <w:t xml:space="preserve">11. </w:t>
      </w:r>
      <w:proofErr w:type="spellStart"/>
      <w:r>
        <w:rPr>
          <w:rFonts w:ascii="Times" w:hAnsi="Times"/>
          <w:sz w:val="18"/>
          <w:szCs w:val="18"/>
        </w:rPr>
        <w:t>Günter</w:t>
      </w:r>
      <w:proofErr w:type="spellEnd"/>
      <w:r>
        <w:rPr>
          <w:rFonts w:ascii="Times" w:hAnsi="Times"/>
          <w:sz w:val="18"/>
          <w:szCs w:val="18"/>
        </w:rPr>
        <w:t xml:space="preserve"> </w:t>
      </w:r>
      <w:proofErr w:type="spellStart"/>
      <w:r>
        <w:rPr>
          <w:rFonts w:ascii="Times" w:hAnsi="Times"/>
          <w:sz w:val="18"/>
          <w:szCs w:val="18"/>
        </w:rPr>
        <w:t>Schilder</w:t>
      </w:r>
      <w:proofErr w:type="spellEnd"/>
      <w:r>
        <w:rPr>
          <w:rFonts w:ascii="Times" w:hAnsi="Times"/>
          <w:sz w:val="18"/>
          <w:szCs w:val="18"/>
        </w:rPr>
        <w:t xml:space="preserve">, “Lucas </w:t>
      </w:r>
      <w:proofErr w:type="spellStart"/>
      <w:r>
        <w:rPr>
          <w:rFonts w:ascii="Times" w:hAnsi="Times"/>
          <w:sz w:val="18"/>
          <w:szCs w:val="18"/>
        </w:rPr>
        <w:t>Janszoon</w:t>
      </w:r>
      <w:proofErr w:type="spellEnd"/>
      <w:r>
        <w:rPr>
          <w:rFonts w:ascii="Times" w:hAnsi="Times"/>
          <w:sz w:val="18"/>
          <w:szCs w:val="18"/>
        </w:rPr>
        <w:t xml:space="preserve"> </w:t>
      </w:r>
      <w:proofErr w:type="spellStart"/>
      <w:r>
        <w:rPr>
          <w:rFonts w:ascii="Times" w:hAnsi="Times"/>
          <w:sz w:val="18"/>
          <w:szCs w:val="18"/>
        </w:rPr>
        <w:t>Waghenaer’s</w:t>
      </w:r>
      <w:proofErr w:type="spellEnd"/>
      <w:r>
        <w:rPr>
          <w:rFonts w:ascii="Times" w:hAnsi="Times"/>
          <w:sz w:val="18"/>
          <w:szCs w:val="18"/>
        </w:rPr>
        <w:t xml:space="preserve"> Nautical Atlases and Pilot Books,” in John A. Wolter and Ronald E. Grim, eds., </w:t>
      </w:r>
      <w:r>
        <w:rPr>
          <w:rFonts w:ascii="Times" w:hAnsi="Times"/>
          <w:i/>
          <w:iCs/>
          <w:sz w:val="18"/>
          <w:szCs w:val="18"/>
        </w:rPr>
        <w:t xml:space="preserve">Images of the World: The Atlas Through History </w:t>
      </w:r>
      <w:r>
        <w:rPr>
          <w:rFonts w:ascii="Times" w:hAnsi="Times"/>
          <w:sz w:val="18"/>
          <w:szCs w:val="18"/>
        </w:rPr>
        <w:t xml:space="preserve">(Washington, D.C.: Library of Congress, 1997), pp. 135–160; </w:t>
      </w:r>
      <w:proofErr w:type="spellStart"/>
      <w:r>
        <w:rPr>
          <w:rFonts w:ascii="Times" w:hAnsi="Times"/>
          <w:sz w:val="18"/>
          <w:szCs w:val="18"/>
        </w:rPr>
        <w:t>Hattendorf</w:t>
      </w:r>
      <w:proofErr w:type="spellEnd"/>
      <w:r>
        <w:rPr>
          <w:rFonts w:ascii="Times" w:hAnsi="Times"/>
          <w:sz w:val="18"/>
          <w:szCs w:val="18"/>
        </w:rPr>
        <w:t xml:space="preserve">, </w:t>
      </w:r>
      <w:r>
        <w:rPr>
          <w:rFonts w:ascii="Times" w:hAnsi="Times"/>
          <w:i/>
          <w:iCs/>
          <w:sz w:val="18"/>
          <w:szCs w:val="18"/>
        </w:rPr>
        <w:t xml:space="preserve">“Boundless Deep,” </w:t>
      </w:r>
      <w:r>
        <w:rPr>
          <w:rFonts w:ascii="Times" w:hAnsi="Times"/>
          <w:sz w:val="18"/>
          <w:szCs w:val="18"/>
        </w:rPr>
        <w:t xml:space="preserve">pp. 54, 56, 102. </w:t>
      </w:r>
    </w:p>
    <w:p w14:paraId="0DD88FA4" w14:textId="77777777" w:rsidR="00695A98" w:rsidRDefault="00695A98" w:rsidP="00695A98">
      <w:pPr>
        <w:pStyle w:val="NormalWeb"/>
      </w:pPr>
      <w:r>
        <w:rPr>
          <w:rFonts w:ascii="Times" w:hAnsi="Times"/>
          <w:sz w:val="18"/>
          <w:szCs w:val="18"/>
        </w:rPr>
        <w:t xml:space="preserve">12. See chapter 8 in this volume, Philip D. Morgan, “Africa and the Atlantic, c. 1450 to c. 1820.” </w:t>
      </w:r>
    </w:p>
    <w:p w14:paraId="480B31E3" w14:textId="77777777" w:rsidR="00695A98" w:rsidRDefault="00695A98" w:rsidP="00695A98">
      <w:pPr>
        <w:pStyle w:val="NormalWeb"/>
      </w:pPr>
      <w:r>
        <w:rPr>
          <w:rFonts w:ascii="Times" w:hAnsi="Times"/>
          <w:sz w:val="18"/>
          <w:szCs w:val="18"/>
        </w:rPr>
        <w:t xml:space="preserve">13. John Thornton, </w:t>
      </w:r>
      <w:r>
        <w:rPr>
          <w:rFonts w:ascii="Times" w:hAnsi="Times"/>
          <w:i/>
          <w:iCs/>
          <w:sz w:val="18"/>
          <w:szCs w:val="18"/>
        </w:rPr>
        <w:t xml:space="preserve">Africa and Africans in the Making of the Atlantic World, 1400–1680 </w:t>
      </w:r>
      <w:r>
        <w:rPr>
          <w:rFonts w:ascii="Times" w:hAnsi="Times"/>
          <w:sz w:val="18"/>
          <w:szCs w:val="18"/>
        </w:rPr>
        <w:t xml:space="preserve">(New York: Cambridge University Press, 1992), pp. 15–27; W. Jeffrey Bolster, </w:t>
      </w:r>
      <w:r>
        <w:rPr>
          <w:rFonts w:ascii="Times" w:hAnsi="Times"/>
          <w:i/>
          <w:iCs/>
          <w:sz w:val="18"/>
          <w:szCs w:val="18"/>
        </w:rPr>
        <w:t xml:space="preserve">Black Jacks: African-American Seamen in the Age of Sail </w:t>
      </w:r>
      <w:r>
        <w:rPr>
          <w:rFonts w:ascii="Times" w:hAnsi="Times"/>
          <w:sz w:val="18"/>
          <w:szCs w:val="18"/>
        </w:rPr>
        <w:t xml:space="preserve">(Cambridge, Mass.: Harvard University Press, 1997). </w:t>
      </w:r>
    </w:p>
    <w:p w14:paraId="7085AADA" w14:textId="77777777" w:rsidR="00695A98" w:rsidRDefault="00695A98" w:rsidP="00695A98">
      <w:pPr>
        <w:pStyle w:val="NormalWeb"/>
      </w:pPr>
      <w:r>
        <w:rPr>
          <w:rFonts w:ascii="Times" w:hAnsi="Times"/>
          <w:sz w:val="18"/>
          <w:szCs w:val="18"/>
        </w:rPr>
        <w:t xml:space="preserve">14. Alison Sandman, “Mirroring the World: Sea Charts, Navigation, and Territorial Claims in Sixteenth-Century Spain,” in Pamela H. Smith and Paula Find- </w:t>
      </w:r>
      <w:proofErr w:type="spellStart"/>
      <w:r>
        <w:rPr>
          <w:rFonts w:ascii="Times" w:hAnsi="Times"/>
          <w:sz w:val="18"/>
          <w:szCs w:val="18"/>
        </w:rPr>
        <w:t>len</w:t>
      </w:r>
      <w:proofErr w:type="spellEnd"/>
      <w:r>
        <w:rPr>
          <w:rFonts w:ascii="Times" w:hAnsi="Times"/>
          <w:sz w:val="18"/>
          <w:szCs w:val="18"/>
        </w:rPr>
        <w:t xml:space="preserve">, eds., </w:t>
      </w:r>
      <w:r>
        <w:rPr>
          <w:rFonts w:ascii="Times" w:hAnsi="Times"/>
          <w:i/>
          <w:iCs/>
          <w:sz w:val="18"/>
          <w:szCs w:val="18"/>
        </w:rPr>
        <w:t xml:space="preserve">Merchants and Marvels: Commerce, Science, and Art in Early Modern Europe </w:t>
      </w:r>
      <w:r>
        <w:rPr>
          <w:rFonts w:ascii="Times" w:hAnsi="Times"/>
          <w:sz w:val="18"/>
          <w:szCs w:val="18"/>
        </w:rPr>
        <w:t xml:space="preserve">(New York: Routledge, 2001), pp. 83–108. </w:t>
      </w:r>
    </w:p>
    <w:p w14:paraId="52F861C8" w14:textId="77777777" w:rsidR="00695A98" w:rsidRDefault="00695A98" w:rsidP="00695A98">
      <w:pPr>
        <w:pStyle w:val="NormalWeb"/>
      </w:pPr>
      <w:r>
        <w:rPr>
          <w:rFonts w:ascii="Times" w:hAnsi="Times"/>
          <w:sz w:val="18"/>
          <w:szCs w:val="18"/>
        </w:rPr>
        <w:t xml:space="preserve">15. Josef W. </w:t>
      </w:r>
      <w:proofErr w:type="spellStart"/>
      <w:r>
        <w:rPr>
          <w:rFonts w:ascii="Times" w:hAnsi="Times"/>
          <w:sz w:val="18"/>
          <w:szCs w:val="18"/>
        </w:rPr>
        <w:t>Konvitz</w:t>
      </w:r>
      <w:proofErr w:type="spellEnd"/>
      <w:r>
        <w:rPr>
          <w:rFonts w:ascii="Times" w:hAnsi="Times"/>
          <w:sz w:val="18"/>
          <w:szCs w:val="18"/>
        </w:rPr>
        <w:t xml:space="preserve">, </w:t>
      </w:r>
      <w:r>
        <w:rPr>
          <w:rFonts w:ascii="Times" w:hAnsi="Times"/>
          <w:i/>
          <w:iCs/>
          <w:sz w:val="18"/>
          <w:szCs w:val="18"/>
        </w:rPr>
        <w:t xml:space="preserve">Cartography in France, 1660–1848: Science, Engineering, and Statecraft </w:t>
      </w:r>
      <w:r>
        <w:rPr>
          <w:rFonts w:ascii="Times" w:hAnsi="Times"/>
          <w:sz w:val="18"/>
          <w:szCs w:val="18"/>
        </w:rPr>
        <w:t xml:space="preserve">(Chicago: University of Chicago Press, 1987), </w:t>
      </w:r>
      <w:proofErr w:type="spellStart"/>
      <w:r>
        <w:rPr>
          <w:rFonts w:ascii="Times" w:hAnsi="Times"/>
          <w:sz w:val="18"/>
          <w:szCs w:val="18"/>
        </w:rPr>
        <w:t>chs</w:t>
      </w:r>
      <w:proofErr w:type="spellEnd"/>
      <w:r>
        <w:rPr>
          <w:rFonts w:ascii="Times" w:hAnsi="Times"/>
          <w:sz w:val="18"/>
          <w:szCs w:val="18"/>
        </w:rPr>
        <w:t xml:space="preserve">. 1, 3; </w:t>
      </w:r>
      <w:proofErr w:type="spellStart"/>
      <w:r>
        <w:rPr>
          <w:rFonts w:ascii="Times" w:hAnsi="Times"/>
          <w:sz w:val="18"/>
          <w:szCs w:val="18"/>
        </w:rPr>
        <w:t>Hattendorf</w:t>
      </w:r>
      <w:proofErr w:type="spellEnd"/>
      <w:r>
        <w:rPr>
          <w:rFonts w:ascii="Times" w:hAnsi="Times"/>
          <w:sz w:val="18"/>
          <w:szCs w:val="18"/>
        </w:rPr>
        <w:t xml:space="preserve">, </w:t>
      </w:r>
      <w:r>
        <w:rPr>
          <w:rFonts w:ascii="Times" w:hAnsi="Times"/>
          <w:i/>
          <w:iCs/>
          <w:sz w:val="18"/>
          <w:szCs w:val="18"/>
        </w:rPr>
        <w:t xml:space="preserve">“Boundless Deep,” </w:t>
      </w:r>
      <w:r>
        <w:rPr>
          <w:rFonts w:ascii="Times" w:hAnsi="Times"/>
          <w:sz w:val="18"/>
          <w:szCs w:val="18"/>
        </w:rPr>
        <w:t xml:space="preserve">pp. 93, 100–101. </w:t>
      </w:r>
    </w:p>
    <w:p w14:paraId="1DCC27C6" w14:textId="77777777" w:rsidR="00695A98" w:rsidRDefault="00695A98" w:rsidP="00695A98">
      <w:pPr>
        <w:pStyle w:val="NormalWeb"/>
      </w:pPr>
      <w:r>
        <w:rPr>
          <w:rFonts w:ascii="Times" w:hAnsi="Times"/>
          <w:sz w:val="18"/>
          <w:szCs w:val="18"/>
        </w:rPr>
        <w:t xml:space="preserve">16. C. R. Boxer, </w:t>
      </w:r>
      <w:r>
        <w:rPr>
          <w:rFonts w:ascii="Times" w:hAnsi="Times"/>
          <w:i/>
          <w:iCs/>
          <w:sz w:val="18"/>
          <w:szCs w:val="18"/>
        </w:rPr>
        <w:t xml:space="preserve">The Dutch Seaborne Empire, 1500–1800 </w:t>
      </w:r>
      <w:r>
        <w:rPr>
          <w:rFonts w:ascii="Times" w:hAnsi="Times"/>
          <w:sz w:val="18"/>
          <w:szCs w:val="18"/>
        </w:rPr>
        <w:t xml:space="preserve">(New York: Knopf, 1965), pp. 164–168; Mary Blewitt, </w:t>
      </w:r>
      <w:r>
        <w:rPr>
          <w:rFonts w:ascii="Times" w:hAnsi="Times"/>
          <w:i/>
          <w:iCs/>
          <w:sz w:val="18"/>
          <w:szCs w:val="18"/>
        </w:rPr>
        <w:t xml:space="preserve">Surveys of the Seas: A Brief History of British Hydrography </w:t>
      </w:r>
      <w:r>
        <w:rPr>
          <w:rFonts w:ascii="Times" w:hAnsi="Times"/>
          <w:sz w:val="18"/>
          <w:szCs w:val="18"/>
        </w:rPr>
        <w:t xml:space="preserve">([London]: </w:t>
      </w:r>
      <w:proofErr w:type="spellStart"/>
      <w:r>
        <w:rPr>
          <w:rFonts w:ascii="Times" w:hAnsi="Times"/>
          <w:sz w:val="18"/>
          <w:szCs w:val="18"/>
        </w:rPr>
        <w:t>Macgibbon</w:t>
      </w:r>
      <w:proofErr w:type="spellEnd"/>
      <w:r>
        <w:rPr>
          <w:rFonts w:ascii="Times" w:hAnsi="Times"/>
          <w:sz w:val="18"/>
          <w:szCs w:val="18"/>
        </w:rPr>
        <w:t xml:space="preserve"> &amp; Kee, [1957]), p. 29. </w:t>
      </w:r>
    </w:p>
    <w:p w14:paraId="3C1EA2E8" w14:textId="77777777" w:rsidR="00695A98" w:rsidRDefault="00695A98" w:rsidP="00695A98">
      <w:pPr>
        <w:pStyle w:val="NormalWeb"/>
      </w:pPr>
      <w:r>
        <w:rPr>
          <w:rFonts w:ascii="Times" w:hAnsi="Times"/>
          <w:sz w:val="18"/>
          <w:szCs w:val="18"/>
        </w:rPr>
        <w:t xml:space="preserve">17. Margaret Deacon, </w:t>
      </w:r>
      <w:r>
        <w:rPr>
          <w:rFonts w:ascii="Times" w:hAnsi="Times"/>
          <w:i/>
          <w:iCs/>
          <w:sz w:val="18"/>
          <w:szCs w:val="18"/>
        </w:rPr>
        <w:t xml:space="preserve">Scientists and the Sea, 1500–1900: A Study of Marine Science </w:t>
      </w:r>
      <w:r>
        <w:rPr>
          <w:rFonts w:ascii="Times" w:hAnsi="Times"/>
          <w:sz w:val="18"/>
          <w:szCs w:val="18"/>
        </w:rPr>
        <w:t xml:space="preserve">(London: Academic Press, 1971), </w:t>
      </w:r>
      <w:proofErr w:type="spellStart"/>
      <w:r>
        <w:rPr>
          <w:rFonts w:ascii="Times" w:hAnsi="Times"/>
          <w:sz w:val="18"/>
          <w:szCs w:val="18"/>
        </w:rPr>
        <w:t>chs</w:t>
      </w:r>
      <w:proofErr w:type="spellEnd"/>
      <w:r>
        <w:rPr>
          <w:rFonts w:ascii="Times" w:hAnsi="Times"/>
          <w:sz w:val="18"/>
          <w:szCs w:val="18"/>
        </w:rPr>
        <w:t xml:space="preserve">. 4, 6, 8; Robert Latham and William Matthews, </w:t>
      </w:r>
      <w:r>
        <w:rPr>
          <w:rFonts w:ascii="Times" w:hAnsi="Times"/>
          <w:i/>
          <w:iCs/>
          <w:sz w:val="18"/>
          <w:szCs w:val="18"/>
        </w:rPr>
        <w:t>The Diary of Samuel Pepys</w:t>
      </w:r>
      <w:r>
        <w:rPr>
          <w:rFonts w:ascii="Times" w:hAnsi="Times"/>
          <w:sz w:val="18"/>
          <w:szCs w:val="18"/>
        </w:rPr>
        <w:t xml:space="preserve">, vol. 10: </w:t>
      </w:r>
      <w:r>
        <w:rPr>
          <w:rFonts w:ascii="Times" w:hAnsi="Times"/>
          <w:i/>
          <w:iCs/>
          <w:sz w:val="18"/>
          <w:szCs w:val="18"/>
        </w:rPr>
        <w:t xml:space="preserve">Companion </w:t>
      </w:r>
      <w:r>
        <w:rPr>
          <w:rFonts w:ascii="Times" w:hAnsi="Times"/>
          <w:sz w:val="18"/>
          <w:szCs w:val="18"/>
        </w:rPr>
        <w:t xml:space="preserve">(Berkeley: University of California Press, 1983), pp. 1–5, 282–299, 361–368, 381–393. </w:t>
      </w:r>
    </w:p>
    <w:p w14:paraId="7E5C7F29" w14:textId="77777777" w:rsidR="00695A98" w:rsidRDefault="00695A98" w:rsidP="00695A98">
      <w:pPr>
        <w:pStyle w:val="NormalWeb"/>
      </w:pPr>
      <w:r>
        <w:rPr>
          <w:rFonts w:ascii="Times" w:hAnsi="Times"/>
          <w:sz w:val="18"/>
          <w:szCs w:val="18"/>
        </w:rPr>
        <w:t xml:space="preserve">18. Matthew Mulcahy, </w:t>
      </w:r>
      <w:r>
        <w:rPr>
          <w:rFonts w:ascii="Times" w:hAnsi="Times"/>
          <w:i/>
          <w:iCs/>
          <w:sz w:val="18"/>
          <w:szCs w:val="18"/>
        </w:rPr>
        <w:t xml:space="preserve">Hurricanes and Society in the British Greater Caribbean, 1624–1783 </w:t>
      </w:r>
      <w:r>
        <w:rPr>
          <w:rFonts w:ascii="Times" w:hAnsi="Times"/>
          <w:sz w:val="18"/>
          <w:szCs w:val="18"/>
        </w:rPr>
        <w:t xml:space="preserve">(Baltimore: Johns Hopkins University Press, 2006), </w:t>
      </w:r>
      <w:proofErr w:type="spellStart"/>
      <w:r>
        <w:rPr>
          <w:rFonts w:ascii="Times" w:hAnsi="Times"/>
          <w:sz w:val="18"/>
          <w:szCs w:val="18"/>
        </w:rPr>
        <w:t>ch.</w:t>
      </w:r>
      <w:proofErr w:type="spellEnd"/>
      <w:r>
        <w:rPr>
          <w:rFonts w:ascii="Times" w:hAnsi="Times"/>
          <w:sz w:val="18"/>
          <w:szCs w:val="18"/>
        </w:rPr>
        <w:t xml:space="preserve"> 2; Anna Neill, “Buccaneer Ethnography: Nature, Culture, and Nation in the Journals of William Dampier,” </w:t>
      </w:r>
      <w:r>
        <w:rPr>
          <w:rFonts w:ascii="Times" w:hAnsi="Times"/>
          <w:i/>
          <w:iCs/>
          <w:sz w:val="18"/>
          <w:szCs w:val="18"/>
        </w:rPr>
        <w:t xml:space="preserve">Eighteenth-Century Studies </w:t>
      </w:r>
      <w:r>
        <w:rPr>
          <w:rFonts w:ascii="Times" w:hAnsi="Times"/>
          <w:sz w:val="18"/>
          <w:szCs w:val="18"/>
        </w:rPr>
        <w:t xml:space="preserve">33 (2000): 165–180; Diana Preston and Michael Preston, </w:t>
      </w:r>
      <w:r>
        <w:rPr>
          <w:rFonts w:ascii="Times" w:hAnsi="Times"/>
          <w:i/>
          <w:iCs/>
          <w:sz w:val="18"/>
          <w:szCs w:val="18"/>
        </w:rPr>
        <w:t xml:space="preserve">A Pirate of Exquisite Mind: Explorer, Naturalist, and Buccaneer— The Life of William Dampier </w:t>
      </w:r>
      <w:r>
        <w:rPr>
          <w:rFonts w:ascii="Times" w:hAnsi="Times"/>
          <w:sz w:val="18"/>
          <w:szCs w:val="18"/>
        </w:rPr>
        <w:t xml:space="preserve">(New York: Walker, 2004). </w:t>
      </w:r>
    </w:p>
    <w:p w14:paraId="3D8742C7" w14:textId="77777777" w:rsidR="00695A98" w:rsidRDefault="00695A98" w:rsidP="00695A98">
      <w:pPr>
        <w:pStyle w:val="NormalWeb"/>
      </w:pPr>
      <w:r>
        <w:rPr>
          <w:rFonts w:ascii="Times" w:hAnsi="Times"/>
          <w:sz w:val="18"/>
          <w:szCs w:val="18"/>
        </w:rPr>
        <w:t xml:space="preserve">19. William Dampier, </w:t>
      </w:r>
      <w:r>
        <w:rPr>
          <w:rFonts w:ascii="Times" w:hAnsi="Times"/>
          <w:i/>
          <w:iCs/>
          <w:sz w:val="18"/>
          <w:szCs w:val="18"/>
        </w:rPr>
        <w:t xml:space="preserve">A Collection of Voyages in Four Volumes </w:t>
      </w:r>
      <w:r>
        <w:rPr>
          <w:rFonts w:ascii="Times" w:hAnsi="Times"/>
          <w:sz w:val="18"/>
          <w:szCs w:val="18"/>
        </w:rPr>
        <w:t xml:space="preserve">(London, 1729), vol. 2, p. 3. </w:t>
      </w:r>
    </w:p>
    <w:p w14:paraId="0919A1F1" w14:textId="77777777" w:rsidR="00695A98" w:rsidRDefault="00695A98" w:rsidP="00695A98">
      <w:pPr>
        <w:pStyle w:val="NormalWeb"/>
      </w:pPr>
      <w:r>
        <w:rPr>
          <w:rFonts w:ascii="Times" w:hAnsi="Times"/>
          <w:sz w:val="18"/>
          <w:szCs w:val="18"/>
        </w:rPr>
        <w:lastRenderedPageBreak/>
        <w:t xml:space="preserve">20. Norman J. W. Thrower, ed., </w:t>
      </w:r>
      <w:r>
        <w:rPr>
          <w:rFonts w:ascii="Times" w:hAnsi="Times"/>
          <w:i/>
          <w:iCs/>
          <w:sz w:val="18"/>
          <w:szCs w:val="18"/>
        </w:rPr>
        <w:t xml:space="preserve">The Three Voyages of Edmond Halley in the Paramore, 1698–1701 </w:t>
      </w:r>
      <w:r>
        <w:rPr>
          <w:rFonts w:ascii="Times" w:hAnsi="Times"/>
          <w:sz w:val="18"/>
          <w:szCs w:val="18"/>
        </w:rPr>
        <w:t xml:space="preserve">(London: Hakluyt Society, 1981); Patricia </w:t>
      </w:r>
      <w:proofErr w:type="spellStart"/>
      <w:r>
        <w:rPr>
          <w:rFonts w:ascii="Times" w:hAnsi="Times"/>
          <w:sz w:val="18"/>
          <w:szCs w:val="18"/>
        </w:rPr>
        <w:t>Fara</w:t>
      </w:r>
      <w:proofErr w:type="spellEnd"/>
      <w:r>
        <w:rPr>
          <w:rFonts w:ascii="Times" w:hAnsi="Times"/>
          <w:sz w:val="18"/>
          <w:szCs w:val="18"/>
        </w:rPr>
        <w:t xml:space="preserve">, </w:t>
      </w:r>
      <w:r>
        <w:rPr>
          <w:rFonts w:ascii="Times" w:hAnsi="Times"/>
          <w:i/>
          <w:iCs/>
          <w:sz w:val="18"/>
          <w:szCs w:val="18"/>
        </w:rPr>
        <w:t xml:space="preserve">Sympathetic Attractions: Magnetic Practices, Beliefs, and Symbolism in Eighteenth-Century England </w:t>
      </w:r>
      <w:r>
        <w:rPr>
          <w:rFonts w:ascii="Times" w:hAnsi="Times"/>
          <w:sz w:val="18"/>
          <w:szCs w:val="18"/>
        </w:rPr>
        <w:t xml:space="preserve">(Princeton: Princeton University Press, 1996), </w:t>
      </w:r>
      <w:proofErr w:type="spellStart"/>
      <w:r>
        <w:rPr>
          <w:rFonts w:ascii="Times" w:hAnsi="Times"/>
          <w:sz w:val="18"/>
          <w:szCs w:val="18"/>
        </w:rPr>
        <w:t>ch.</w:t>
      </w:r>
      <w:proofErr w:type="spellEnd"/>
      <w:r>
        <w:rPr>
          <w:rFonts w:ascii="Times" w:hAnsi="Times"/>
          <w:sz w:val="18"/>
          <w:szCs w:val="18"/>
        </w:rPr>
        <w:t xml:space="preserve"> 4; Alan Cook, </w:t>
      </w:r>
      <w:r>
        <w:rPr>
          <w:rFonts w:ascii="Times" w:hAnsi="Times"/>
          <w:i/>
          <w:iCs/>
          <w:sz w:val="18"/>
          <w:szCs w:val="18"/>
        </w:rPr>
        <w:t xml:space="preserve">Edmond Halley: Charting the Heavens and the Seas </w:t>
      </w:r>
      <w:r>
        <w:rPr>
          <w:rFonts w:ascii="Times" w:hAnsi="Times"/>
          <w:sz w:val="18"/>
          <w:szCs w:val="18"/>
        </w:rPr>
        <w:t xml:space="preserve">(Oxford: Clarendon Press, 1998), </w:t>
      </w:r>
      <w:proofErr w:type="spellStart"/>
      <w:r>
        <w:rPr>
          <w:rFonts w:ascii="Times" w:hAnsi="Times"/>
          <w:sz w:val="18"/>
          <w:szCs w:val="18"/>
        </w:rPr>
        <w:t>chs</w:t>
      </w:r>
      <w:proofErr w:type="spellEnd"/>
      <w:r>
        <w:rPr>
          <w:rFonts w:ascii="Times" w:hAnsi="Times"/>
          <w:sz w:val="18"/>
          <w:szCs w:val="18"/>
        </w:rPr>
        <w:t xml:space="preserve">. 3, 10. Halley had also done a thematic chart of winds. See Arthur H. Robinson, </w:t>
      </w:r>
      <w:r>
        <w:rPr>
          <w:rFonts w:ascii="Times" w:hAnsi="Times"/>
          <w:i/>
          <w:iCs/>
          <w:sz w:val="18"/>
          <w:szCs w:val="18"/>
        </w:rPr>
        <w:t xml:space="preserve">Early Thematic Mapping in the History of Cartography </w:t>
      </w:r>
      <w:r>
        <w:rPr>
          <w:rFonts w:ascii="Times" w:hAnsi="Times"/>
          <w:sz w:val="18"/>
          <w:szCs w:val="18"/>
        </w:rPr>
        <w:t xml:space="preserve">(Chicago: University of Chicago Press, 1982), pp. 46–51; Michael Friendly and Gilles </w:t>
      </w:r>
      <w:proofErr w:type="spellStart"/>
      <w:r>
        <w:rPr>
          <w:rFonts w:ascii="Times" w:hAnsi="Times"/>
          <w:sz w:val="18"/>
          <w:szCs w:val="18"/>
        </w:rPr>
        <w:t>Palsky</w:t>
      </w:r>
      <w:proofErr w:type="spellEnd"/>
      <w:r>
        <w:rPr>
          <w:rFonts w:ascii="Times" w:hAnsi="Times"/>
          <w:sz w:val="18"/>
          <w:szCs w:val="18"/>
        </w:rPr>
        <w:t xml:space="preserve">, “Visualizing Nature and Society,” in Akerman and </w:t>
      </w:r>
      <w:proofErr w:type="spellStart"/>
      <w:r>
        <w:rPr>
          <w:rFonts w:ascii="Times" w:hAnsi="Times"/>
          <w:sz w:val="18"/>
          <w:szCs w:val="18"/>
        </w:rPr>
        <w:t>Karrow</w:t>
      </w:r>
      <w:proofErr w:type="spellEnd"/>
      <w:r>
        <w:rPr>
          <w:rFonts w:ascii="Times" w:hAnsi="Times"/>
          <w:sz w:val="18"/>
          <w:szCs w:val="18"/>
        </w:rPr>
        <w:t xml:space="preserve">, eds., </w:t>
      </w:r>
      <w:r>
        <w:rPr>
          <w:rFonts w:ascii="Times" w:hAnsi="Times"/>
          <w:i/>
          <w:iCs/>
          <w:sz w:val="18"/>
          <w:szCs w:val="18"/>
        </w:rPr>
        <w:t>Maps</w:t>
      </w:r>
      <w:r>
        <w:rPr>
          <w:rFonts w:ascii="Times" w:hAnsi="Times"/>
          <w:sz w:val="18"/>
          <w:szCs w:val="18"/>
        </w:rPr>
        <w:t xml:space="preserve">, pp. 219–221. </w:t>
      </w:r>
    </w:p>
    <w:p w14:paraId="37663F44" w14:textId="77777777" w:rsidR="00695A98" w:rsidRDefault="00695A98" w:rsidP="00695A98">
      <w:pPr>
        <w:pStyle w:val="NormalWeb"/>
      </w:pPr>
      <w:r>
        <w:rPr>
          <w:rFonts w:ascii="Helvetica" w:hAnsi="Helvetica"/>
          <w:sz w:val="12"/>
          <w:szCs w:val="12"/>
        </w:rPr>
        <w:t xml:space="preserve">Greene, J. P., &amp; Morgan, P. D. (Eds.). (2008). Atlantic </w:t>
      </w:r>
      <w:proofErr w:type="gramStart"/>
      <w:r>
        <w:rPr>
          <w:rFonts w:ascii="Helvetica" w:hAnsi="Helvetica"/>
          <w:sz w:val="12"/>
          <w:szCs w:val="12"/>
        </w:rPr>
        <w:t>history :</w:t>
      </w:r>
      <w:proofErr w:type="gramEnd"/>
      <w:r>
        <w:rPr>
          <w:rFonts w:ascii="Helvetica" w:hAnsi="Helvetica"/>
          <w:sz w:val="12"/>
          <w:szCs w:val="12"/>
        </w:rPr>
        <w:t xml:space="preserve"> A critical appraisal. ProQuest </w:t>
      </w:r>
      <w:proofErr w:type="spellStart"/>
      <w:r>
        <w:rPr>
          <w:rFonts w:ascii="Helvetica" w:hAnsi="Helvetica"/>
          <w:sz w:val="12"/>
          <w:szCs w:val="12"/>
        </w:rPr>
        <w:t>Ebook</w:t>
      </w:r>
      <w:proofErr w:type="spellEnd"/>
      <w:r>
        <w:rPr>
          <w:rFonts w:ascii="Helvetica" w:hAnsi="Helvetica"/>
          <w:sz w:val="12"/>
          <w:szCs w:val="12"/>
        </w:rPr>
        <w:t xml:space="preserve"> Central &lt;a onclick=</w:t>
      </w:r>
      <w:proofErr w:type="spellStart"/>
      <w:proofErr w:type="gramStart"/>
      <w:r>
        <w:rPr>
          <w:rFonts w:ascii="Helvetica" w:hAnsi="Helvetica"/>
          <w:sz w:val="12"/>
          <w:szCs w:val="12"/>
        </w:rPr>
        <w:t>window.open</w:t>
      </w:r>
      <w:proofErr w:type="spellEnd"/>
      <w:proofErr w:type="gramEnd"/>
      <w:r>
        <w:rPr>
          <w:rFonts w:ascii="Helvetica" w:hAnsi="Helvetica"/>
          <w:sz w:val="12"/>
          <w:szCs w:val="12"/>
        </w:rPr>
        <w:t>('http://</w:t>
      </w:r>
      <w:proofErr w:type="spellStart"/>
      <w:r>
        <w:rPr>
          <w:rFonts w:ascii="Helvetica" w:hAnsi="Helvetica"/>
          <w:sz w:val="12"/>
          <w:szCs w:val="12"/>
        </w:rPr>
        <w:t>ebookcentral.proquest.com','_blank</w:t>
      </w:r>
      <w:proofErr w:type="spellEnd"/>
      <w:r>
        <w:rPr>
          <w:rFonts w:ascii="Helvetica" w:hAnsi="Helvetica"/>
          <w:sz w:val="12"/>
          <w:szCs w:val="12"/>
        </w:rPr>
        <w:t xml:space="preserve">') </w:t>
      </w:r>
      <w:proofErr w:type="spellStart"/>
      <w:r>
        <w:rPr>
          <w:rFonts w:ascii="Helvetica" w:hAnsi="Helvetica"/>
          <w:sz w:val="12"/>
          <w:szCs w:val="12"/>
        </w:rPr>
        <w:t>href</w:t>
      </w:r>
      <w:proofErr w:type="spellEnd"/>
      <w:r>
        <w:rPr>
          <w:rFonts w:ascii="Helvetica" w:hAnsi="Helvetica"/>
          <w:sz w:val="12"/>
          <w:szCs w:val="12"/>
        </w:rPr>
        <w:t xml:space="preserve">='http://ebookcentral.proquest.com' target='_blank' style='cursor: p </w:t>
      </w:r>
    </w:p>
    <w:p w14:paraId="6895EDB1" w14:textId="77777777" w:rsidR="00695A98" w:rsidRDefault="00695A98" w:rsidP="00695A98">
      <w:pPr>
        <w:pStyle w:val="NormalWeb"/>
      </w:pPr>
      <w:r>
        <w:rPr>
          <w:rFonts w:ascii="Helvetica" w:hAnsi="Helvetica"/>
          <w:sz w:val="12"/>
          <w:szCs w:val="12"/>
        </w:rPr>
        <w:t xml:space="preserve">Created from </w:t>
      </w:r>
      <w:proofErr w:type="spellStart"/>
      <w:r>
        <w:rPr>
          <w:rFonts w:ascii="Helvetica" w:hAnsi="Helvetica"/>
          <w:sz w:val="12"/>
          <w:szCs w:val="12"/>
        </w:rPr>
        <w:t>gsu</w:t>
      </w:r>
      <w:proofErr w:type="spellEnd"/>
      <w:r>
        <w:rPr>
          <w:rFonts w:ascii="Helvetica" w:hAnsi="Helvetica"/>
          <w:sz w:val="12"/>
          <w:szCs w:val="12"/>
        </w:rPr>
        <w:t xml:space="preserve"> on 2021-10-03 23:20:11. </w:t>
      </w:r>
    </w:p>
    <w:p w14:paraId="5ACC7EE8" w14:textId="77777777" w:rsidR="00695A98" w:rsidRDefault="00695A98" w:rsidP="00695A98">
      <w:pPr>
        <w:pStyle w:val="NormalWeb"/>
      </w:pPr>
      <w:r>
        <w:rPr>
          <w:rFonts w:ascii="Helvetica" w:hAnsi="Helvetica"/>
          <w:sz w:val="12"/>
          <w:szCs w:val="12"/>
        </w:rPr>
        <w:t xml:space="preserve">Copyright © 2008. Oxford University Press, Incorporated. All rights reserved. </w:t>
      </w:r>
    </w:p>
    <w:p w14:paraId="722D81CA" w14:textId="77777777" w:rsidR="00695A98" w:rsidRDefault="00695A98" w:rsidP="00695A98">
      <w:pPr>
        <w:pStyle w:val="NormalWeb"/>
      </w:pPr>
      <w:r>
        <w:rPr>
          <w:rFonts w:ascii="Times" w:hAnsi="Times"/>
          <w:sz w:val="16"/>
          <w:szCs w:val="16"/>
        </w:rPr>
        <w:t xml:space="preserve">THE ATLANTIC OCEAN AND ITS CONTEMPORARY MEANINGS, 1492–1808 </w:t>
      </w:r>
      <w:r>
        <w:rPr>
          <w:rFonts w:ascii="Times" w:hAnsi="Times"/>
          <w:sz w:val="18"/>
          <w:szCs w:val="18"/>
        </w:rPr>
        <w:t xml:space="preserve">51 </w:t>
      </w:r>
    </w:p>
    <w:p w14:paraId="56D917B8" w14:textId="77777777" w:rsidR="00695A98" w:rsidRDefault="00695A98" w:rsidP="00695A98">
      <w:pPr>
        <w:pStyle w:val="NormalWeb"/>
      </w:pPr>
      <w:r>
        <w:rPr>
          <w:rFonts w:ascii="Times" w:hAnsi="Times"/>
          <w:sz w:val="18"/>
          <w:szCs w:val="18"/>
        </w:rPr>
        <w:t xml:space="preserve">21. </w:t>
      </w:r>
      <w:proofErr w:type="spellStart"/>
      <w:r>
        <w:rPr>
          <w:rFonts w:ascii="Times" w:hAnsi="Times"/>
          <w:sz w:val="18"/>
          <w:szCs w:val="18"/>
        </w:rPr>
        <w:t>Dava</w:t>
      </w:r>
      <w:proofErr w:type="spellEnd"/>
      <w:r>
        <w:rPr>
          <w:rFonts w:ascii="Times" w:hAnsi="Times"/>
          <w:sz w:val="18"/>
          <w:szCs w:val="18"/>
        </w:rPr>
        <w:t xml:space="preserve"> Sobel, </w:t>
      </w:r>
      <w:r>
        <w:rPr>
          <w:rFonts w:ascii="Times" w:hAnsi="Times"/>
          <w:i/>
          <w:iCs/>
          <w:sz w:val="18"/>
          <w:szCs w:val="18"/>
        </w:rPr>
        <w:t xml:space="preserve">Longitude: The True Story of a Lone Genius Who Solved the Greatest Scientific Problem of His Time </w:t>
      </w:r>
      <w:r>
        <w:rPr>
          <w:rFonts w:ascii="Times" w:hAnsi="Times"/>
          <w:sz w:val="18"/>
          <w:szCs w:val="18"/>
        </w:rPr>
        <w:t xml:space="preserve">(New York: Penguin, 1995); William J. H. Andrewes, ed., </w:t>
      </w:r>
      <w:r>
        <w:rPr>
          <w:rFonts w:ascii="Times" w:hAnsi="Times"/>
          <w:i/>
          <w:iCs/>
          <w:sz w:val="18"/>
          <w:szCs w:val="18"/>
        </w:rPr>
        <w:t xml:space="preserve">The Quest for Longitude: The Proceedings of the Longitude </w:t>
      </w:r>
      <w:proofErr w:type="spellStart"/>
      <w:r>
        <w:rPr>
          <w:rFonts w:ascii="Times" w:hAnsi="Times"/>
          <w:i/>
          <w:iCs/>
          <w:sz w:val="18"/>
          <w:szCs w:val="18"/>
        </w:rPr>
        <w:t>Sympo</w:t>
      </w:r>
      <w:proofErr w:type="spellEnd"/>
      <w:r>
        <w:rPr>
          <w:rFonts w:ascii="Times" w:hAnsi="Times"/>
          <w:i/>
          <w:iCs/>
          <w:sz w:val="18"/>
          <w:szCs w:val="18"/>
        </w:rPr>
        <w:t xml:space="preserve">- </w:t>
      </w:r>
      <w:proofErr w:type="spellStart"/>
      <w:r>
        <w:rPr>
          <w:rFonts w:ascii="Times" w:hAnsi="Times"/>
          <w:i/>
          <w:iCs/>
          <w:sz w:val="18"/>
          <w:szCs w:val="18"/>
        </w:rPr>
        <w:t>sium</w:t>
      </w:r>
      <w:proofErr w:type="spellEnd"/>
      <w:r>
        <w:rPr>
          <w:rFonts w:ascii="Times" w:hAnsi="Times"/>
          <w:i/>
          <w:iCs/>
          <w:sz w:val="18"/>
          <w:szCs w:val="18"/>
        </w:rPr>
        <w:t xml:space="preserve"> </w:t>
      </w:r>
      <w:r>
        <w:rPr>
          <w:rFonts w:ascii="Times" w:hAnsi="Times"/>
          <w:sz w:val="18"/>
          <w:szCs w:val="18"/>
        </w:rPr>
        <w:t xml:space="preserve">(Cambridge, Mass.: Harvard University Press, 1996). </w:t>
      </w:r>
    </w:p>
    <w:p w14:paraId="616FD910" w14:textId="77777777" w:rsidR="00695A98" w:rsidRDefault="00695A98" w:rsidP="00695A98">
      <w:pPr>
        <w:pStyle w:val="NormalWeb"/>
      </w:pPr>
      <w:r>
        <w:rPr>
          <w:rFonts w:ascii="Times" w:hAnsi="Times"/>
          <w:sz w:val="18"/>
          <w:szCs w:val="18"/>
        </w:rPr>
        <w:t xml:space="preserve">22. Iris H. W. </w:t>
      </w:r>
      <w:proofErr w:type="spellStart"/>
      <w:r>
        <w:rPr>
          <w:rFonts w:ascii="Times" w:hAnsi="Times"/>
          <w:sz w:val="18"/>
          <w:szCs w:val="18"/>
        </w:rPr>
        <w:t>Engstrand</w:t>
      </w:r>
      <w:proofErr w:type="spellEnd"/>
      <w:r>
        <w:rPr>
          <w:rFonts w:ascii="Times" w:hAnsi="Times"/>
          <w:sz w:val="18"/>
          <w:szCs w:val="18"/>
        </w:rPr>
        <w:t xml:space="preserve">, </w:t>
      </w:r>
      <w:r>
        <w:rPr>
          <w:rFonts w:ascii="Times" w:hAnsi="Times"/>
          <w:i/>
          <w:iCs/>
          <w:sz w:val="18"/>
          <w:szCs w:val="18"/>
        </w:rPr>
        <w:t xml:space="preserve">Spanish Scientists in the New World: The Eighteenth- Century Expeditions </w:t>
      </w:r>
      <w:r>
        <w:rPr>
          <w:rFonts w:ascii="Times" w:hAnsi="Times"/>
          <w:sz w:val="18"/>
          <w:szCs w:val="18"/>
        </w:rPr>
        <w:t xml:space="preserve">(Seattle: University of Washington Press, 1981), pp. 184–185. 23. Joyce E. Chaplin, </w:t>
      </w:r>
      <w:r>
        <w:rPr>
          <w:rFonts w:ascii="Times" w:hAnsi="Times"/>
          <w:i/>
          <w:iCs/>
          <w:sz w:val="18"/>
          <w:szCs w:val="18"/>
        </w:rPr>
        <w:t xml:space="preserve">The First Scientific American: Benjamin Franklin and the </w:t>
      </w:r>
    </w:p>
    <w:p w14:paraId="1AE7383F" w14:textId="77777777" w:rsidR="00695A98" w:rsidRDefault="00695A98" w:rsidP="00695A98">
      <w:pPr>
        <w:pStyle w:val="NormalWeb"/>
      </w:pPr>
      <w:r>
        <w:rPr>
          <w:rFonts w:ascii="Times" w:hAnsi="Times"/>
          <w:i/>
          <w:iCs/>
          <w:sz w:val="18"/>
          <w:szCs w:val="18"/>
        </w:rPr>
        <w:t xml:space="preserve">Pursuit of Genius </w:t>
      </w:r>
      <w:r>
        <w:rPr>
          <w:rFonts w:ascii="Times" w:hAnsi="Times"/>
          <w:sz w:val="18"/>
          <w:szCs w:val="18"/>
        </w:rPr>
        <w:t>(New York: Basic Books, 2006), pp. 195–200.</w:t>
      </w:r>
      <w:r>
        <w:rPr>
          <w:rFonts w:ascii="Times" w:hAnsi="Times"/>
          <w:sz w:val="18"/>
          <w:szCs w:val="18"/>
        </w:rPr>
        <w:br/>
        <w:t xml:space="preserve">24. </w:t>
      </w:r>
      <w:proofErr w:type="spellStart"/>
      <w:r>
        <w:rPr>
          <w:rFonts w:ascii="Times" w:hAnsi="Times"/>
          <w:sz w:val="18"/>
          <w:szCs w:val="18"/>
        </w:rPr>
        <w:t>Readex</w:t>
      </w:r>
      <w:proofErr w:type="spellEnd"/>
      <w:r>
        <w:rPr>
          <w:rFonts w:ascii="Times" w:hAnsi="Times"/>
          <w:sz w:val="18"/>
          <w:szCs w:val="18"/>
        </w:rPr>
        <w:t xml:space="preserve"> Digital Collections, Archive of Americana, Early American Imprints </w:t>
      </w:r>
    </w:p>
    <w:p w14:paraId="33657EE9" w14:textId="77777777" w:rsidR="00695A98" w:rsidRDefault="00695A98" w:rsidP="00695A98">
      <w:pPr>
        <w:pStyle w:val="NormalWeb"/>
      </w:pPr>
      <w:r>
        <w:rPr>
          <w:rFonts w:ascii="Times" w:hAnsi="Times"/>
          <w:sz w:val="18"/>
          <w:szCs w:val="18"/>
        </w:rPr>
        <w:t>Series I, Evans (1639–1800).</w:t>
      </w:r>
      <w:r>
        <w:rPr>
          <w:rFonts w:ascii="Times" w:hAnsi="Times"/>
          <w:sz w:val="18"/>
          <w:szCs w:val="18"/>
        </w:rPr>
        <w:br/>
        <w:t xml:space="preserve">25. Victor </w:t>
      </w:r>
      <w:proofErr w:type="spellStart"/>
      <w:r>
        <w:rPr>
          <w:rFonts w:ascii="Times" w:hAnsi="Times"/>
          <w:sz w:val="18"/>
          <w:szCs w:val="18"/>
        </w:rPr>
        <w:t>Suthren</w:t>
      </w:r>
      <w:proofErr w:type="spellEnd"/>
      <w:r>
        <w:rPr>
          <w:rFonts w:ascii="Times" w:hAnsi="Times"/>
          <w:sz w:val="18"/>
          <w:szCs w:val="18"/>
        </w:rPr>
        <w:t xml:space="preserve">, </w:t>
      </w:r>
      <w:r>
        <w:rPr>
          <w:rFonts w:ascii="Times" w:hAnsi="Times"/>
          <w:i/>
          <w:iCs/>
          <w:sz w:val="18"/>
          <w:szCs w:val="18"/>
        </w:rPr>
        <w:t xml:space="preserve">To Go Upon Discovery: James Cook and Canada, from </w:t>
      </w:r>
    </w:p>
    <w:p w14:paraId="57C2890F" w14:textId="77777777" w:rsidR="00695A98" w:rsidRDefault="00695A98" w:rsidP="00695A98">
      <w:pPr>
        <w:pStyle w:val="NormalWeb"/>
      </w:pPr>
      <w:r>
        <w:rPr>
          <w:rFonts w:ascii="Times" w:hAnsi="Times"/>
          <w:i/>
          <w:iCs/>
          <w:sz w:val="18"/>
          <w:szCs w:val="18"/>
        </w:rPr>
        <w:t xml:space="preserve">1758 to 1779 </w:t>
      </w:r>
      <w:r>
        <w:rPr>
          <w:rFonts w:ascii="Times" w:hAnsi="Times"/>
          <w:sz w:val="18"/>
          <w:szCs w:val="18"/>
        </w:rPr>
        <w:t xml:space="preserve">(Toronto, Ont.: Dundurn Press, 2000); </w:t>
      </w:r>
      <w:proofErr w:type="spellStart"/>
      <w:r>
        <w:rPr>
          <w:rFonts w:ascii="Times" w:hAnsi="Times"/>
          <w:sz w:val="18"/>
          <w:szCs w:val="18"/>
        </w:rPr>
        <w:t>Hattendorf</w:t>
      </w:r>
      <w:proofErr w:type="spellEnd"/>
      <w:r>
        <w:rPr>
          <w:rFonts w:ascii="Times" w:hAnsi="Times"/>
          <w:sz w:val="18"/>
          <w:szCs w:val="18"/>
        </w:rPr>
        <w:t xml:space="preserve">, </w:t>
      </w:r>
      <w:r>
        <w:rPr>
          <w:rFonts w:ascii="Times" w:hAnsi="Times"/>
          <w:i/>
          <w:iCs/>
          <w:sz w:val="18"/>
          <w:szCs w:val="18"/>
        </w:rPr>
        <w:t xml:space="preserve">“Boundless Deep,” </w:t>
      </w:r>
      <w:r>
        <w:rPr>
          <w:rFonts w:ascii="Times" w:hAnsi="Times"/>
          <w:sz w:val="18"/>
          <w:szCs w:val="18"/>
        </w:rPr>
        <w:t xml:space="preserve">pp. 106–107; J. B. Harley, Barbara </w:t>
      </w:r>
      <w:proofErr w:type="spellStart"/>
      <w:r>
        <w:rPr>
          <w:rFonts w:ascii="Times" w:hAnsi="Times"/>
          <w:sz w:val="18"/>
          <w:szCs w:val="18"/>
        </w:rPr>
        <w:t>Bartz</w:t>
      </w:r>
      <w:proofErr w:type="spellEnd"/>
      <w:r>
        <w:rPr>
          <w:rFonts w:ascii="Times" w:hAnsi="Times"/>
          <w:sz w:val="18"/>
          <w:szCs w:val="18"/>
        </w:rPr>
        <w:t xml:space="preserve"> </w:t>
      </w:r>
      <w:proofErr w:type="spellStart"/>
      <w:r>
        <w:rPr>
          <w:rFonts w:ascii="Times" w:hAnsi="Times"/>
          <w:sz w:val="18"/>
          <w:szCs w:val="18"/>
        </w:rPr>
        <w:t>Petchenik</w:t>
      </w:r>
      <w:proofErr w:type="spellEnd"/>
      <w:r>
        <w:rPr>
          <w:rFonts w:ascii="Times" w:hAnsi="Times"/>
          <w:sz w:val="18"/>
          <w:szCs w:val="18"/>
        </w:rPr>
        <w:t xml:space="preserve">, and Lawrence W. Towner, </w:t>
      </w:r>
      <w:r>
        <w:rPr>
          <w:rFonts w:ascii="Times" w:hAnsi="Times"/>
          <w:i/>
          <w:iCs/>
          <w:sz w:val="18"/>
          <w:szCs w:val="18"/>
        </w:rPr>
        <w:t xml:space="preserve">Mapping the American Revolutionary War </w:t>
      </w:r>
      <w:r>
        <w:rPr>
          <w:rFonts w:ascii="Times" w:hAnsi="Times"/>
          <w:sz w:val="18"/>
          <w:szCs w:val="18"/>
        </w:rPr>
        <w:t xml:space="preserve">(Chicago: University of Chicago Press, 1978), pp. 87–91. </w:t>
      </w:r>
    </w:p>
    <w:p w14:paraId="5D10EB2D" w14:textId="77777777" w:rsidR="00695A98" w:rsidRDefault="00695A98" w:rsidP="00695A98">
      <w:pPr>
        <w:pStyle w:val="NormalWeb"/>
      </w:pPr>
      <w:r>
        <w:rPr>
          <w:rFonts w:ascii="Times" w:hAnsi="Times"/>
          <w:sz w:val="18"/>
          <w:szCs w:val="18"/>
        </w:rPr>
        <w:t xml:space="preserve">26. Ellen Cohn, “Benjamin Franklin, Georges-Louis Le Rouge and the Franklin/ Folger Chart of the Gulf Stream,” </w:t>
      </w:r>
      <w:r>
        <w:rPr>
          <w:rFonts w:ascii="Times" w:hAnsi="Times"/>
          <w:i/>
          <w:iCs/>
          <w:sz w:val="18"/>
          <w:szCs w:val="18"/>
        </w:rPr>
        <w:t xml:space="preserve">Imago Mundi </w:t>
      </w:r>
      <w:r>
        <w:rPr>
          <w:rFonts w:ascii="Times" w:hAnsi="Times"/>
          <w:sz w:val="18"/>
          <w:szCs w:val="18"/>
        </w:rPr>
        <w:t xml:space="preserve">52 (2000): 124–142; Chaplin, </w:t>
      </w:r>
      <w:r>
        <w:rPr>
          <w:rFonts w:ascii="Times" w:hAnsi="Times"/>
          <w:i/>
          <w:iCs/>
          <w:sz w:val="18"/>
          <w:szCs w:val="18"/>
        </w:rPr>
        <w:t>First Scientific American</w:t>
      </w:r>
      <w:r>
        <w:rPr>
          <w:rFonts w:ascii="Times" w:hAnsi="Times"/>
          <w:sz w:val="18"/>
          <w:szCs w:val="18"/>
        </w:rPr>
        <w:t xml:space="preserve">, pp. 289–292, 317–325; </w:t>
      </w:r>
      <w:proofErr w:type="spellStart"/>
      <w:r>
        <w:rPr>
          <w:rFonts w:ascii="Times" w:hAnsi="Times"/>
          <w:sz w:val="18"/>
          <w:szCs w:val="18"/>
        </w:rPr>
        <w:t>Hattendorf</w:t>
      </w:r>
      <w:proofErr w:type="spellEnd"/>
      <w:r>
        <w:rPr>
          <w:rFonts w:ascii="Times" w:hAnsi="Times"/>
          <w:sz w:val="18"/>
          <w:szCs w:val="18"/>
        </w:rPr>
        <w:t xml:space="preserve">, </w:t>
      </w:r>
      <w:r>
        <w:rPr>
          <w:rFonts w:ascii="Times" w:hAnsi="Times"/>
          <w:i/>
          <w:iCs/>
          <w:sz w:val="18"/>
          <w:szCs w:val="18"/>
        </w:rPr>
        <w:t xml:space="preserve">“Boundless Deep,” </w:t>
      </w:r>
      <w:r>
        <w:rPr>
          <w:rFonts w:ascii="Times" w:hAnsi="Times"/>
          <w:sz w:val="18"/>
          <w:szCs w:val="18"/>
        </w:rPr>
        <w:t xml:space="preserve">pp. 58, 59, 108. </w:t>
      </w:r>
    </w:p>
    <w:p w14:paraId="6D1AF84F" w14:textId="77777777" w:rsidR="00695A98" w:rsidRDefault="00695A98" w:rsidP="00695A98">
      <w:pPr>
        <w:pStyle w:val="NormalWeb"/>
      </w:pPr>
      <w:r>
        <w:rPr>
          <w:rFonts w:ascii="Times" w:hAnsi="Times"/>
          <w:sz w:val="18"/>
          <w:szCs w:val="18"/>
        </w:rPr>
        <w:t xml:space="preserve">27. Glyn Williams, </w:t>
      </w:r>
      <w:r>
        <w:rPr>
          <w:rFonts w:ascii="Times" w:hAnsi="Times"/>
          <w:i/>
          <w:iCs/>
          <w:sz w:val="18"/>
          <w:szCs w:val="18"/>
        </w:rPr>
        <w:t xml:space="preserve">Voyages of Delusion: The Northwest Passage in the Age of Reason </w:t>
      </w:r>
      <w:r>
        <w:rPr>
          <w:rFonts w:ascii="Times" w:hAnsi="Times"/>
          <w:sz w:val="18"/>
          <w:szCs w:val="18"/>
        </w:rPr>
        <w:t xml:space="preserve">(London: HarperCollins, 2002). </w:t>
      </w:r>
    </w:p>
    <w:p w14:paraId="3EB4DC2B" w14:textId="77777777" w:rsidR="00695A98" w:rsidRDefault="00695A98" w:rsidP="00695A98">
      <w:pPr>
        <w:pStyle w:val="NormalWeb"/>
      </w:pPr>
      <w:r>
        <w:rPr>
          <w:rFonts w:ascii="Times" w:hAnsi="Times"/>
          <w:sz w:val="18"/>
          <w:szCs w:val="18"/>
        </w:rPr>
        <w:t xml:space="preserve">28. Williams, </w:t>
      </w:r>
      <w:r>
        <w:rPr>
          <w:rFonts w:ascii="Times" w:hAnsi="Times"/>
          <w:i/>
          <w:iCs/>
          <w:sz w:val="18"/>
          <w:szCs w:val="18"/>
        </w:rPr>
        <w:t>Voyages of Delusion</w:t>
      </w:r>
      <w:r>
        <w:rPr>
          <w:rFonts w:ascii="Times" w:hAnsi="Times"/>
          <w:sz w:val="18"/>
          <w:szCs w:val="18"/>
        </w:rPr>
        <w:t xml:space="preserve">, pp. 146, 191–194, 211–212; Vincent </w:t>
      </w:r>
      <w:proofErr w:type="spellStart"/>
      <w:r>
        <w:rPr>
          <w:rFonts w:ascii="Times" w:hAnsi="Times"/>
          <w:sz w:val="18"/>
          <w:szCs w:val="18"/>
        </w:rPr>
        <w:t>Carretta</w:t>
      </w:r>
      <w:proofErr w:type="spellEnd"/>
      <w:r>
        <w:rPr>
          <w:rFonts w:ascii="Times" w:hAnsi="Times"/>
          <w:sz w:val="18"/>
          <w:szCs w:val="18"/>
        </w:rPr>
        <w:t xml:space="preserve">, </w:t>
      </w:r>
      <w:r>
        <w:rPr>
          <w:rFonts w:ascii="Times" w:hAnsi="Times"/>
          <w:i/>
          <w:iCs/>
          <w:sz w:val="18"/>
          <w:szCs w:val="18"/>
        </w:rPr>
        <w:t xml:space="preserve">Equiano the African: Biography of a Self-Made Man </w:t>
      </w:r>
      <w:r>
        <w:rPr>
          <w:rFonts w:ascii="Times" w:hAnsi="Times"/>
          <w:sz w:val="18"/>
          <w:szCs w:val="18"/>
        </w:rPr>
        <w:t xml:space="preserve">(Athens: University of Georgia Press, 2005), </w:t>
      </w:r>
      <w:proofErr w:type="spellStart"/>
      <w:r>
        <w:rPr>
          <w:rFonts w:ascii="Times" w:hAnsi="Times"/>
          <w:sz w:val="18"/>
          <w:szCs w:val="18"/>
        </w:rPr>
        <w:t>ch.</w:t>
      </w:r>
      <w:proofErr w:type="spellEnd"/>
      <w:r>
        <w:rPr>
          <w:rFonts w:ascii="Times" w:hAnsi="Times"/>
          <w:sz w:val="18"/>
          <w:szCs w:val="18"/>
        </w:rPr>
        <w:t xml:space="preserve"> 7. </w:t>
      </w:r>
    </w:p>
    <w:p w14:paraId="3B6F45FF" w14:textId="77777777" w:rsidR="00695A98" w:rsidRDefault="00695A98" w:rsidP="00695A98">
      <w:pPr>
        <w:pStyle w:val="NormalWeb"/>
      </w:pPr>
      <w:r>
        <w:rPr>
          <w:rFonts w:ascii="Times" w:hAnsi="Times"/>
          <w:sz w:val="18"/>
          <w:szCs w:val="18"/>
        </w:rPr>
        <w:t xml:space="preserve">29. P. J. Marshall and Glyndwr Williams, </w:t>
      </w:r>
      <w:r>
        <w:rPr>
          <w:rFonts w:ascii="Times" w:hAnsi="Times"/>
          <w:i/>
          <w:iCs/>
          <w:sz w:val="18"/>
          <w:szCs w:val="18"/>
        </w:rPr>
        <w:t xml:space="preserve">The Great Map of Mankind: Perceptions of New Worlds in the Age of Enlightenment </w:t>
      </w:r>
      <w:r>
        <w:rPr>
          <w:rFonts w:ascii="Times" w:hAnsi="Times"/>
          <w:sz w:val="18"/>
          <w:szCs w:val="18"/>
        </w:rPr>
        <w:t xml:space="preserve">(Cambridge, Mass.: Harvard University Press, 1982), pp. 258–265; David Mackay, </w:t>
      </w:r>
      <w:r>
        <w:rPr>
          <w:rFonts w:ascii="Times" w:hAnsi="Times"/>
          <w:i/>
          <w:iCs/>
          <w:sz w:val="18"/>
          <w:szCs w:val="18"/>
        </w:rPr>
        <w:t xml:space="preserve">In the Wake of Cook: Exploration, Science, and Empire, 1780–1801 </w:t>
      </w:r>
      <w:r>
        <w:rPr>
          <w:rFonts w:ascii="Times" w:hAnsi="Times"/>
          <w:sz w:val="18"/>
          <w:szCs w:val="18"/>
        </w:rPr>
        <w:t xml:space="preserve">(London: Croom Helm, 1985). </w:t>
      </w:r>
    </w:p>
    <w:p w14:paraId="36DD2273" w14:textId="77777777" w:rsidR="00695A98" w:rsidRDefault="00695A98" w:rsidP="00695A98">
      <w:pPr>
        <w:pStyle w:val="NormalWeb"/>
      </w:pPr>
      <w:r>
        <w:rPr>
          <w:rFonts w:ascii="Times" w:hAnsi="Times"/>
          <w:sz w:val="18"/>
          <w:szCs w:val="18"/>
        </w:rPr>
        <w:t xml:space="preserve">30. Mark Peterson, “Naming the Pacific,” </w:t>
      </w:r>
      <w:r>
        <w:rPr>
          <w:rFonts w:ascii="Times" w:hAnsi="Times"/>
          <w:i/>
          <w:iCs/>
          <w:sz w:val="18"/>
          <w:szCs w:val="18"/>
        </w:rPr>
        <w:t xml:space="preserve">Common Place </w:t>
      </w:r>
      <w:r>
        <w:rPr>
          <w:rFonts w:ascii="Times" w:hAnsi="Times"/>
          <w:sz w:val="18"/>
          <w:szCs w:val="18"/>
        </w:rPr>
        <w:t xml:space="preserve">5 (January 2005) (www.common-place.org). </w:t>
      </w:r>
    </w:p>
    <w:p w14:paraId="5C7F754F" w14:textId="77777777" w:rsidR="00695A98" w:rsidRDefault="00695A98" w:rsidP="00695A98">
      <w:pPr>
        <w:pStyle w:val="NormalWeb"/>
      </w:pPr>
      <w:r>
        <w:rPr>
          <w:rFonts w:ascii="Times" w:hAnsi="Times"/>
          <w:sz w:val="18"/>
          <w:szCs w:val="18"/>
        </w:rPr>
        <w:t xml:space="preserve">31. Cassandra </w:t>
      </w:r>
      <w:proofErr w:type="spellStart"/>
      <w:r>
        <w:rPr>
          <w:rFonts w:ascii="Times" w:hAnsi="Times"/>
          <w:sz w:val="18"/>
          <w:szCs w:val="18"/>
        </w:rPr>
        <w:t>Pybus</w:t>
      </w:r>
      <w:proofErr w:type="spellEnd"/>
      <w:r>
        <w:rPr>
          <w:rFonts w:ascii="Times" w:hAnsi="Times"/>
          <w:sz w:val="18"/>
          <w:szCs w:val="18"/>
        </w:rPr>
        <w:t xml:space="preserve">, </w:t>
      </w:r>
      <w:r>
        <w:rPr>
          <w:rFonts w:ascii="Times" w:hAnsi="Times"/>
          <w:i/>
          <w:iCs/>
          <w:sz w:val="18"/>
          <w:szCs w:val="18"/>
        </w:rPr>
        <w:t xml:space="preserve">Epic Journeys of Freedom: Runaway Slaves of the American Revolution and Their Global Quest for Liberty </w:t>
      </w:r>
      <w:r>
        <w:rPr>
          <w:rFonts w:ascii="Times" w:hAnsi="Times"/>
          <w:sz w:val="18"/>
          <w:szCs w:val="18"/>
        </w:rPr>
        <w:t xml:space="preserve">(Boston: Beacon Press, 2006), </w:t>
      </w:r>
      <w:proofErr w:type="spellStart"/>
      <w:r>
        <w:rPr>
          <w:rFonts w:ascii="Times" w:hAnsi="Times"/>
          <w:sz w:val="18"/>
          <w:szCs w:val="18"/>
        </w:rPr>
        <w:t>chs</w:t>
      </w:r>
      <w:proofErr w:type="spellEnd"/>
      <w:r>
        <w:rPr>
          <w:rFonts w:ascii="Times" w:hAnsi="Times"/>
          <w:sz w:val="18"/>
          <w:szCs w:val="18"/>
        </w:rPr>
        <w:t xml:space="preserve">. 6, 8, 10. </w:t>
      </w:r>
    </w:p>
    <w:p w14:paraId="21395822" w14:textId="77777777" w:rsidR="009C053D" w:rsidRDefault="009C053D"/>
    <w:sectPr w:rsidR="009C05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53D"/>
    <w:rsid w:val="00695A98"/>
    <w:rsid w:val="00916EAF"/>
    <w:rsid w:val="009C0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757A29"/>
  <w15:chartTrackingRefBased/>
  <w15:docId w15:val="{2852FEC1-F96A-E640-BCA1-9243359FE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95A9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261247">
      <w:bodyDiv w:val="1"/>
      <w:marLeft w:val="0"/>
      <w:marRight w:val="0"/>
      <w:marTop w:val="0"/>
      <w:marBottom w:val="0"/>
      <w:divBdr>
        <w:top w:val="none" w:sz="0" w:space="0" w:color="auto"/>
        <w:left w:val="none" w:sz="0" w:space="0" w:color="auto"/>
        <w:bottom w:val="none" w:sz="0" w:space="0" w:color="auto"/>
        <w:right w:val="none" w:sz="0" w:space="0" w:color="auto"/>
      </w:divBdr>
      <w:divsChild>
        <w:div w:id="564336722">
          <w:blockQuote w:val="1"/>
          <w:marLeft w:val="-450"/>
          <w:marRight w:val="-450"/>
          <w:marTop w:val="0"/>
          <w:marBottom w:val="300"/>
          <w:divBdr>
            <w:top w:val="none" w:sz="0" w:space="0" w:color="auto"/>
            <w:left w:val="none" w:sz="0" w:space="0" w:color="auto"/>
            <w:bottom w:val="none" w:sz="0" w:space="0" w:color="auto"/>
            <w:right w:val="none" w:sz="0" w:space="0" w:color="auto"/>
          </w:divBdr>
        </w:div>
      </w:divsChild>
    </w:div>
    <w:div w:id="821626271">
      <w:bodyDiv w:val="1"/>
      <w:marLeft w:val="0"/>
      <w:marRight w:val="0"/>
      <w:marTop w:val="0"/>
      <w:marBottom w:val="0"/>
      <w:divBdr>
        <w:top w:val="none" w:sz="0" w:space="0" w:color="auto"/>
        <w:left w:val="none" w:sz="0" w:space="0" w:color="auto"/>
        <w:bottom w:val="none" w:sz="0" w:space="0" w:color="auto"/>
        <w:right w:val="none" w:sz="0" w:space="0" w:color="auto"/>
      </w:divBdr>
    </w:div>
    <w:div w:id="2096366153">
      <w:bodyDiv w:val="1"/>
      <w:marLeft w:val="0"/>
      <w:marRight w:val="0"/>
      <w:marTop w:val="0"/>
      <w:marBottom w:val="0"/>
      <w:divBdr>
        <w:top w:val="none" w:sz="0" w:space="0" w:color="auto"/>
        <w:left w:val="none" w:sz="0" w:space="0" w:color="auto"/>
        <w:bottom w:val="none" w:sz="0" w:space="0" w:color="auto"/>
        <w:right w:val="none" w:sz="0" w:space="0" w:color="auto"/>
      </w:divBdr>
      <w:divsChild>
        <w:div w:id="479545166">
          <w:marLeft w:val="0"/>
          <w:marRight w:val="0"/>
          <w:marTop w:val="0"/>
          <w:marBottom w:val="0"/>
          <w:divBdr>
            <w:top w:val="none" w:sz="0" w:space="0" w:color="auto"/>
            <w:left w:val="none" w:sz="0" w:space="0" w:color="auto"/>
            <w:bottom w:val="none" w:sz="0" w:space="0" w:color="auto"/>
            <w:right w:val="none" w:sz="0" w:space="0" w:color="auto"/>
          </w:divBdr>
          <w:divsChild>
            <w:div w:id="317267907">
              <w:marLeft w:val="0"/>
              <w:marRight w:val="0"/>
              <w:marTop w:val="0"/>
              <w:marBottom w:val="0"/>
              <w:divBdr>
                <w:top w:val="none" w:sz="0" w:space="0" w:color="auto"/>
                <w:left w:val="none" w:sz="0" w:space="0" w:color="auto"/>
                <w:bottom w:val="none" w:sz="0" w:space="0" w:color="auto"/>
                <w:right w:val="none" w:sz="0" w:space="0" w:color="auto"/>
              </w:divBdr>
              <w:divsChild>
                <w:div w:id="1492333125">
                  <w:marLeft w:val="0"/>
                  <w:marRight w:val="0"/>
                  <w:marTop w:val="0"/>
                  <w:marBottom w:val="0"/>
                  <w:divBdr>
                    <w:top w:val="none" w:sz="0" w:space="0" w:color="auto"/>
                    <w:left w:val="none" w:sz="0" w:space="0" w:color="auto"/>
                    <w:bottom w:val="none" w:sz="0" w:space="0" w:color="auto"/>
                    <w:right w:val="none" w:sz="0" w:space="0" w:color="auto"/>
                  </w:divBdr>
                </w:div>
              </w:divsChild>
            </w:div>
            <w:div w:id="1327512993">
              <w:marLeft w:val="0"/>
              <w:marRight w:val="0"/>
              <w:marTop w:val="0"/>
              <w:marBottom w:val="0"/>
              <w:divBdr>
                <w:top w:val="none" w:sz="0" w:space="0" w:color="auto"/>
                <w:left w:val="none" w:sz="0" w:space="0" w:color="auto"/>
                <w:bottom w:val="none" w:sz="0" w:space="0" w:color="auto"/>
                <w:right w:val="none" w:sz="0" w:space="0" w:color="auto"/>
              </w:divBdr>
              <w:divsChild>
                <w:div w:id="21126813">
                  <w:marLeft w:val="0"/>
                  <w:marRight w:val="0"/>
                  <w:marTop w:val="0"/>
                  <w:marBottom w:val="0"/>
                  <w:divBdr>
                    <w:top w:val="none" w:sz="0" w:space="0" w:color="auto"/>
                    <w:left w:val="none" w:sz="0" w:space="0" w:color="auto"/>
                    <w:bottom w:val="none" w:sz="0" w:space="0" w:color="auto"/>
                    <w:right w:val="none" w:sz="0" w:space="0" w:color="auto"/>
                  </w:divBdr>
                </w:div>
              </w:divsChild>
            </w:div>
            <w:div w:id="27029539">
              <w:marLeft w:val="0"/>
              <w:marRight w:val="0"/>
              <w:marTop w:val="0"/>
              <w:marBottom w:val="0"/>
              <w:divBdr>
                <w:top w:val="none" w:sz="0" w:space="0" w:color="auto"/>
                <w:left w:val="none" w:sz="0" w:space="0" w:color="auto"/>
                <w:bottom w:val="none" w:sz="0" w:space="0" w:color="auto"/>
                <w:right w:val="none" w:sz="0" w:space="0" w:color="auto"/>
              </w:divBdr>
              <w:divsChild>
                <w:div w:id="809397352">
                  <w:marLeft w:val="0"/>
                  <w:marRight w:val="0"/>
                  <w:marTop w:val="0"/>
                  <w:marBottom w:val="0"/>
                  <w:divBdr>
                    <w:top w:val="none" w:sz="0" w:space="0" w:color="auto"/>
                    <w:left w:val="none" w:sz="0" w:space="0" w:color="auto"/>
                    <w:bottom w:val="none" w:sz="0" w:space="0" w:color="auto"/>
                    <w:right w:val="none" w:sz="0" w:space="0" w:color="auto"/>
                  </w:divBdr>
                  <w:divsChild>
                    <w:div w:id="147536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717436">
          <w:marLeft w:val="0"/>
          <w:marRight w:val="0"/>
          <w:marTop w:val="0"/>
          <w:marBottom w:val="0"/>
          <w:divBdr>
            <w:top w:val="none" w:sz="0" w:space="0" w:color="auto"/>
            <w:left w:val="none" w:sz="0" w:space="0" w:color="auto"/>
            <w:bottom w:val="none" w:sz="0" w:space="0" w:color="auto"/>
            <w:right w:val="none" w:sz="0" w:space="0" w:color="auto"/>
          </w:divBdr>
          <w:divsChild>
            <w:div w:id="1380275455">
              <w:marLeft w:val="0"/>
              <w:marRight w:val="0"/>
              <w:marTop w:val="0"/>
              <w:marBottom w:val="0"/>
              <w:divBdr>
                <w:top w:val="none" w:sz="0" w:space="0" w:color="auto"/>
                <w:left w:val="none" w:sz="0" w:space="0" w:color="auto"/>
                <w:bottom w:val="none" w:sz="0" w:space="0" w:color="auto"/>
                <w:right w:val="none" w:sz="0" w:space="0" w:color="auto"/>
              </w:divBdr>
              <w:divsChild>
                <w:div w:id="490296234">
                  <w:marLeft w:val="0"/>
                  <w:marRight w:val="0"/>
                  <w:marTop w:val="0"/>
                  <w:marBottom w:val="0"/>
                  <w:divBdr>
                    <w:top w:val="none" w:sz="0" w:space="0" w:color="auto"/>
                    <w:left w:val="none" w:sz="0" w:space="0" w:color="auto"/>
                    <w:bottom w:val="none" w:sz="0" w:space="0" w:color="auto"/>
                    <w:right w:val="none" w:sz="0" w:space="0" w:color="auto"/>
                  </w:divBdr>
                </w:div>
              </w:divsChild>
            </w:div>
            <w:div w:id="168839305">
              <w:marLeft w:val="0"/>
              <w:marRight w:val="0"/>
              <w:marTop w:val="0"/>
              <w:marBottom w:val="0"/>
              <w:divBdr>
                <w:top w:val="none" w:sz="0" w:space="0" w:color="auto"/>
                <w:left w:val="none" w:sz="0" w:space="0" w:color="auto"/>
                <w:bottom w:val="none" w:sz="0" w:space="0" w:color="auto"/>
                <w:right w:val="none" w:sz="0" w:space="0" w:color="auto"/>
              </w:divBdr>
              <w:divsChild>
                <w:div w:id="1370298507">
                  <w:marLeft w:val="0"/>
                  <w:marRight w:val="0"/>
                  <w:marTop w:val="0"/>
                  <w:marBottom w:val="0"/>
                  <w:divBdr>
                    <w:top w:val="none" w:sz="0" w:space="0" w:color="auto"/>
                    <w:left w:val="none" w:sz="0" w:space="0" w:color="auto"/>
                    <w:bottom w:val="none" w:sz="0" w:space="0" w:color="auto"/>
                    <w:right w:val="none" w:sz="0" w:space="0" w:color="auto"/>
                  </w:divBdr>
                </w:div>
              </w:divsChild>
            </w:div>
            <w:div w:id="652176489">
              <w:marLeft w:val="0"/>
              <w:marRight w:val="0"/>
              <w:marTop w:val="0"/>
              <w:marBottom w:val="0"/>
              <w:divBdr>
                <w:top w:val="none" w:sz="0" w:space="0" w:color="auto"/>
                <w:left w:val="none" w:sz="0" w:space="0" w:color="auto"/>
                <w:bottom w:val="none" w:sz="0" w:space="0" w:color="auto"/>
                <w:right w:val="none" w:sz="0" w:space="0" w:color="auto"/>
              </w:divBdr>
              <w:divsChild>
                <w:div w:id="1449085851">
                  <w:marLeft w:val="0"/>
                  <w:marRight w:val="0"/>
                  <w:marTop w:val="0"/>
                  <w:marBottom w:val="0"/>
                  <w:divBdr>
                    <w:top w:val="none" w:sz="0" w:space="0" w:color="auto"/>
                    <w:left w:val="none" w:sz="0" w:space="0" w:color="auto"/>
                    <w:bottom w:val="none" w:sz="0" w:space="0" w:color="auto"/>
                    <w:right w:val="none" w:sz="0" w:space="0" w:color="auto"/>
                  </w:divBdr>
                  <w:divsChild>
                    <w:div w:id="13231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910718">
          <w:marLeft w:val="0"/>
          <w:marRight w:val="0"/>
          <w:marTop w:val="0"/>
          <w:marBottom w:val="0"/>
          <w:divBdr>
            <w:top w:val="none" w:sz="0" w:space="0" w:color="auto"/>
            <w:left w:val="none" w:sz="0" w:space="0" w:color="auto"/>
            <w:bottom w:val="none" w:sz="0" w:space="0" w:color="auto"/>
            <w:right w:val="none" w:sz="0" w:space="0" w:color="auto"/>
          </w:divBdr>
          <w:divsChild>
            <w:div w:id="1023239969">
              <w:marLeft w:val="0"/>
              <w:marRight w:val="0"/>
              <w:marTop w:val="0"/>
              <w:marBottom w:val="0"/>
              <w:divBdr>
                <w:top w:val="none" w:sz="0" w:space="0" w:color="auto"/>
                <w:left w:val="none" w:sz="0" w:space="0" w:color="auto"/>
                <w:bottom w:val="none" w:sz="0" w:space="0" w:color="auto"/>
                <w:right w:val="none" w:sz="0" w:space="0" w:color="auto"/>
              </w:divBdr>
              <w:divsChild>
                <w:div w:id="115683800">
                  <w:marLeft w:val="0"/>
                  <w:marRight w:val="0"/>
                  <w:marTop w:val="0"/>
                  <w:marBottom w:val="0"/>
                  <w:divBdr>
                    <w:top w:val="none" w:sz="0" w:space="0" w:color="auto"/>
                    <w:left w:val="none" w:sz="0" w:space="0" w:color="auto"/>
                    <w:bottom w:val="none" w:sz="0" w:space="0" w:color="auto"/>
                    <w:right w:val="none" w:sz="0" w:space="0" w:color="auto"/>
                  </w:divBdr>
                </w:div>
              </w:divsChild>
            </w:div>
            <w:div w:id="534195884">
              <w:marLeft w:val="0"/>
              <w:marRight w:val="0"/>
              <w:marTop w:val="0"/>
              <w:marBottom w:val="0"/>
              <w:divBdr>
                <w:top w:val="none" w:sz="0" w:space="0" w:color="auto"/>
                <w:left w:val="none" w:sz="0" w:space="0" w:color="auto"/>
                <w:bottom w:val="none" w:sz="0" w:space="0" w:color="auto"/>
                <w:right w:val="none" w:sz="0" w:space="0" w:color="auto"/>
              </w:divBdr>
              <w:divsChild>
                <w:div w:id="297027720">
                  <w:marLeft w:val="0"/>
                  <w:marRight w:val="0"/>
                  <w:marTop w:val="0"/>
                  <w:marBottom w:val="0"/>
                  <w:divBdr>
                    <w:top w:val="none" w:sz="0" w:space="0" w:color="auto"/>
                    <w:left w:val="none" w:sz="0" w:space="0" w:color="auto"/>
                    <w:bottom w:val="none" w:sz="0" w:space="0" w:color="auto"/>
                    <w:right w:val="none" w:sz="0" w:space="0" w:color="auto"/>
                  </w:divBdr>
                </w:div>
              </w:divsChild>
            </w:div>
            <w:div w:id="766081302">
              <w:marLeft w:val="0"/>
              <w:marRight w:val="0"/>
              <w:marTop w:val="0"/>
              <w:marBottom w:val="0"/>
              <w:divBdr>
                <w:top w:val="none" w:sz="0" w:space="0" w:color="auto"/>
                <w:left w:val="none" w:sz="0" w:space="0" w:color="auto"/>
                <w:bottom w:val="none" w:sz="0" w:space="0" w:color="auto"/>
                <w:right w:val="none" w:sz="0" w:space="0" w:color="auto"/>
              </w:divBdr>
              <w:divsChild>
                <w:div w:id="648020673">
                  <w:marLeft w:val="0"/>
                  <w:marRight w:val="0"/>
                  <w:marTop w:val="0"/>
                  <w:marBottom w:val="0"/>
                  <w:divBdr>
                    <w:top w:val="none" w:sz="0" w:space="0" w:color="auto"/>
                    <w:left w:val="none" w:sz="0" w:space="0" w:color="auto"/>
                    <w:bottom w:val="none" w:sz="0" w:space="0" w:color="auto"/>
                    <w:right w:val="none" w:sz="0" w:space="0" w:color="auto"/>
                  </w:divBdr>
                  <w:divsChild>
                    <w:div w:id="24126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609911">
          <w:marLeft w:val="0"/>
          <w:marRight w:val="0"/>
          <w:marTop w:val="0"/>
          <w:marBottom w:val="0"/>
          <w:divBdr>
            <w:top w:val="none" w:sz="0" w:space="0" w:color="auto"/>
            <w:left w:val="none" w:sz="0" w:space="0" w:color="auto"/>
            <w:bottom w:val="none" w:sz="0" w:space="0" w:color="auto"/>
            <w:right w:val="none" w:sz="0" w:space="0" w:color="auto"/>
          </w:divBdr>
          <w:divsChild>
            <w:div w:id="246034615">
              <w:marLeft w:val="0"/>
              <w:marRight w:val="0"/>
              <w:marTop w:val="0"/>
              <w:marBottom w:val="0"/>
              <w:divBdr>
                <w:top w:val="none" w:sz="0" w:space="0" w:color="auto"/>
                <w:left w:val="none" w:sz="0" w:space="0" w:color="auto"/>
                <w:bottom w:val="none" w:sz="0" w:space="0" w:color="auto"/>
                <w:right w:val="none" w:sz="0" w:space="0" w:color="auto"/>
              </w:divBdr>
              <w:divsChild>
                <w:div w:id="1770542426">
                  <w:marLeft w:val="0"/>
                  <w:marRight w:val="0"/>
                  <w:marTop w:val="0"/>
                  <w:marBottom w:val="0"/>
                  <w:divBdr>
                    <w:top w:val="none" w:sz="0" w:space="0" w:color="auto"/>
                    <w:left w:val="none" w:sz="0" w:space="0" w:color="auto"/>
                    <w:bottom w:val="none" w:sz="0" w:space="0" w:color="auto"/>
                    <w:right w:val="none" w:sz="0" w:space="0" w:color="auto"/>
                  </w:divBdr>
                </w:div>
              </w:divsChild>
            </w:div>
            <w:div w:id="1822842379">
              <w:marLeft w:val="0"/>
              <w:marRight w:val="0"/>
              <w:marTop w:val="0"/>
              <w:marBottom w:val="0"/>
              <w:divBdr>
                <w:top w:val="none" w:sz="0" w:space="0" w:color="auto"/>
                <w:left w:val="none" w:sz="0" w:space="0" w:color="auto"/>
                <w:bottom w:val="none" w:sz="0" w:space="0" w:color="auto"/>
                <w:right w:val="none" w:sz="0" w:space="0" w:color="auto"/>
              </w:divBdr>
              <w:divsChild>
                <w:div w:id="42873148">
                  <w:marLeft w:val="0"/>
                  <w:marRight w:val="0"/>
                  <w:marTop w:val="0"/>
                  <w:marBottom w:val="0"/>
                  <w:divBdr>
                    <w:top w:val="none" w:sz="0" w:space="0" w:color="auto"/>
                    <w:left w:val="none" w:sz="0" w:space="0" w:color="auto"/>
                    <w:bottom w:val="none" w:sz="0" w:space="0" w:color="auto"/>
                    <w:right w:val="none" w:sz="0" w:space="0" w:color="auto"/>
                  </w:divBdr>
                </w:div>
              </w:divsChild>
            </w:div>
            <w:div w:id="1362826077">
              <w:marLeft w:val="0"/>
              <w:marRight w:val="0"/>
              <w:marTop w:val="0"/>
              <w:marBottom w:val="0"/>
              <w:divBdr>
                <w:top w:val="none" w:sz="0" w:space="0" w:color="auto"/>
                <w:left w:val="none" w:sz="0" w:space="0" w:color="auto"/>
                <w:bottom w:val="none" w:sz="0" w:space="0" w:color="auto"/>
                <w:right w:val="none" w:sz="0" w:space="0" w:color="auto"/>
              </w:divBdr>
              <w:divsChild>
                <w:div w:id="2145735458">
                  <w:marLeft w:val="0"/>
                  <w:marRight w:val="0"/>
                  <w:marTop w:val="0"/>
                  <w:marBottom w:val="0"/>
                  <w:divBdr>
                    <w:top w:val="none" w:sz="0" w:space="0" w:color="auto"/>
                    <w:left w:val="none" w:sz="0" w:space="0" w:color="auto"/>
                    <w:bottom w:val="none" w:sz="0" w:space="0" w:color="auto"/>
                    <w:right w:val="none" w:sz="0" w:space="0" w:color="auto"/>
                  </w:divBdr>
                  <w:divsChild>
                    <w:div w:id="173154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74996">
          <w:marLeft w:val="0"/>
          <w:marRight w:val="0"/>
          <w:marTop w:val="0"/>
          <w:marBottom w:val="0"/>
          <w:divBdr>
            <w:top w:val="none" w:sz="0" w:space="0" w:color="auto"/>
            <w:left w:val="none" w:sz="0" w:space="0" w:color="auto"/>
            <w:bottom w:val="none" w:sz="0" w:space="0" w:color="auto"/>
            <w:right w:val="none" w:sz="0" w:space="0" w:color="auto"/>
          </w:divBdr>
          <w:divsChild>
            <w:div w:id="458767727">
              <w:marLeft w:val="0"/>
              <w:marRight w:val="0"/>
              <w:marTop w:val="0"/>
              <w:marBottom w:val="0"/>
              <w:divBdr>
                <w:top w:val="none" w:sz="0" w:space="0" w:color="auto"/>
                <w:left w:val="none" w:sz="0" w:space="0" w:color="auto"/>
                <w:bottom w:val="none" w:sz="0" w:space="0" w:color="auto"/>
                <w:right w:val="none" w:sz="0" w:space="0" w:color="auto"/>
              </w:divBdr>
              <w:divsChild>
                <w:div w:id="1159811182">
                  <w:marLeft w:val="0"/>
                  <w:marRight w:val="0"/>
                  <w:marTop w:val="0"/>
                  <w:marBottom w:val="0"/>
                  <w:divBdr>
                    <w:top w:val="none" w:sz="0" w:space="0" w:color="auto"/>
                    <w:left w:val="none" w:sz="0" w:space="0" w:color="auto"/>
                    <w:bottom w:val="none" w:sz="0" w:space="0" w:color="auto"/>
                    <w:right w:val="none" w:sz="0" w:space="0" w:color="auto"/>
                  </w:divBdr>
                </w:div>
              </w:divsChild>
            </w:div>
            <w:div w:id="265309810">
              <w:marLeft w:val="0"/>
              <w:marRight w:val="0"/>
              <w:marTop w:val="0"/>
              <w:marBottom w:val="0"/>
              <w:divBdr>
                <w:top w:val="none" w:sz="0" w:space="0" w:color="auto"/>
                <w:left w:val="none" w:sz="0" w:space="0" w:color="auto"/>
                <w:bottom w:val="none" w:sz="0" w:space="0" w:color="auto"/>
                <w:right w:val="none" w:sz="0" w:space="0" w:color="auto"/>
              </w:divBdr>
              <w:divsChild>
                <w:div w:id="1600136338">
                  <w:marLeft w:val="0"/>
                  <w:marRight w:val="0"/>
                  <w:marTop w:val="0"/>
                  <w:marBottom w:val="0"/>
                  <w:divBdr>
                    <w:top w:val="none" w:sz="0" w:space="0" w:color="auto"/>
                    <w:left w:val="none" w:sz="0" w:space="0" w:color="auto"/>
                    <w:bottom w:val="none" w:sz="0" w:space="0" w:color="auto"/>
                    <w:right w:val="none" w:sz="0" w:space="0" w:color="auto"/>
                  </w:divBdr>
                </w:div>
              </w:divsChild>
            </w:div>
            <w:div w:id="1857383595">
              <w:marLeft w:val="0"/>
              <w:marRight w:val="0"/>
              <w:marTop w:val="0"/>
              <w:marBottom w:val="0"/>
              <w:divBdr>
                <w:top w:val="none" w:sz="0" w:space="0" w:color="auto"/>
                <w:left w:val="none" w:sz="0" w:space="0" w:color="auto"/>
                <w:bottom w:val="none" w:sz="0" w:space="0" w:color="auto"/>
                <w:right w:val="none" w:sz="0" w:space="0" w:color="auto"/>
              </w:divBdr>
              <w:divsChild>
                <w:div w:id="869805599">
                  <w:marLeft w:val="0"/>
                  <w:marRight w:val="0"/>
                  <w:marTop w:val="0"/>
                  <w:marBottom w:val="0"/>
                  <w:divBdr>
                    <w:top w:val="none" w:sz="0" w:space="0" w:color="auto"/>
                    <w:left w:val="none" w:sz="0" w:space="0" w:color="auto"/>
                    <w:bottom w:val="none" w:sz="0" w:space="0" w:color="auto"/>
                    <w:right w:val="none" w:sz="0" w:space="0" w:color="auto"/>
                  </w:divBdr>
                  <w:divsChild>
                    <w:div w:id="9000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950680">
          <w:marLeft w:val="0"/>
          <w:marRight w:val="0"/>
          <w:marTop w:val="0"/>
          <w:marBottom w:val="0"/>
          <w:divBdr>
            <w:top w:val="none" w:sz="0" w:space="0" w:color="auto"/>
            <w:left w:val="none" w:sz="0" w:space="0" w:color="auto"/>
            <w:bottom w:val="none" w:sz="0" w:space="0" w:color="auto"/>
            <w:right w:val="none" w:sz="0" w:space="0" w:color="auto"/>
          </w:divBdr>
          <w:divsChild>
            <w:div w:id="1812862289">
              <w:marLeft w:val="0"/>
              <w:marRight w:val="0"/>
              <w:marTop w:val="0"/>
              <w:marBottom w:val="0"/>
              <w:divBdr>
                <w:top w:val="none" w:sz="0" w:space="0" w:color="auto"/>
                <w:left w:val="none" w:sz="0" w:space="0" w:color="auto"/>
                <w:bottom w:val="none" w:sz="0" w:space="0" w:color="auto"/>
                <w:right w:val="none" w:sz="0" w:space="0" w:color="auto"/>
              </w:divBdr>
              <w:divsChild>
                <w:div w:id="1017193681">
                  <w:marLeft w:val="0"/>
                  <w:marRight w:val="0"/>
                  <w:marTop w:val="0"/>
                  <w:marBottom w:val="0"/>
                  <w:divBdr>
                    <w:top w:val="none" w:sz="0" w:space="0" w:color="auto"/>
                    <w:left w:val="none" w:sz="0" w:space="0" w:color="auto"/>
                    <w:bottom w:val="none" w:sz="0" w:space="0" w:color="auto"/>
                    <w:right w:val="none" w:sz="0" w:space="0" w:color="auto"/>
                  </w:divBdr>
                </w:div>
              </w:divsChild>
            </w:div>
            <w:div w:id="130945871">
              <w:marLeft w:val="0"/>
              <w:marRight w:val="0"/>
              <w:marTop w:val="0"/>
              <w:marBottom w:val="0"/>
              <w:divBdr>
                <w:top w:val="none" w:sz="0" w:space="0" w:color="auto"/>
                <w:left w:val="none" w:sz="0" w:space="0" w:color="auto"/>
                <w:bottom w:val="none" w:sz="0" w:space="0" w:color="auto"/>
                <w:right w:val="none" w:sz="0" w:space="0" w:color="auto"/>
              </w:divBdr>
              <w:divsChild>
                <w:div w:id="1438334106">
                  <w:marLeft w:val="0"/>
                  <w:marRight w:val="0"/>
                  <w:marTop w:val="0"/>
                  <w:marBottom w:val="0"/>
                  <w:divBdr>
                    <w:top w:val="none" w:sz="0" w:space="0" w:color="auto"/>
                    <w:left w:val="none" w:sz="0" w:space="0" w:color="auto"/>
                    <w:bottom w:val="none" w:sz="0" w:space="0" w:color="auto"/>
                    <w:right w:val="none" w:sz="0" w:space="0" w:color="auto"/>
                  </w:divBdr>
                </w:div>
              </w:divsChild>
            </w:div>
            <w:div w:id="1149128355">
              <w:marLeft w:val="0"/>
              <w:marRight w:val="0"/>
              <w:marTop w:val="0"/>
              <w:marBottom w:val="0"/>
              <w:divBdr>
                <w:top w:val="none" w:sz="0" w:space="0" w:color="auto"/>
                <w:left w:val="none" w:sz="0" w:space="0" w:color="auto"/>
                <w:bottom w:val="none" w:sz="0" w:space="0" w:color="auto"/>
                <w:right w:val="none" w:sz="0" w:space="0" w:color="auto"/>
              </w:divBdr>
              <w:divsChild>
                <w:div w:id="1555968102">
                  <w:marLeft w:val="0"/>
                  <w:marRight w:val="0"/>
                  <w:marTop w:val="0"/>
                  <w:marBottom w:val="0"/>
                  <w:divBdr>
                    <w:top w:val="none" w:sz="0" w:space="0" w:color="auto"/>
                    <w:left w:val="none" w:sz="0" w:space="0" w:color="auto"/>
                    <w:bottom w:val="none" w:sz="0" w:space="0" w:color="auto"/>
                    <w:right w:val="none" w:sz="0" w:space="0" w:color="auto"/>
                  </w:divBdr>
                  <w:divsChild>
                    <w:div w:id="95829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619665">
          <w:marLeft w:val="0"/>
          <w:marRight w:val="0"/>
          <w:marTop w:val="0"/>
          <w:marBottom w:val="0"/>
          <w:divBdr>
            <w:top w:val="none" w:sz="0" w:space="0" w:color="auto"/>
            <w:left w:val="none" w:sz="0" w:space="0" w:color="auto"/>
            <w:bottom w:val="none" w:sz="0" w:space="0" w:color="auto"/>
            <w:right w:val="none" w:sz="0" w:space="0" w:color="auto"/>
          </w:divBdr>
          <w:divsChild>
            <w:div w:id="447162368">
              <w:marLeft w:val="0"/>
              <w:marRight w:val="0"/>
              <w:marTop w:val="0"/>
              <w:marBottom w:val="0"/>
              <w:divBdr>
                <w:top w:val="none" w:sz="0" w:space="0" w:color="auto"/>
                <w:left w:val="none" w:sz="0" w:space="0" w:color="auto"/>
                <w:bottom w:val="none" w:sz="0" w:space="0" w:color="auto"/>
                <w:right w:val="none" w:sz="0" w:space="0" w:color="auto"/>
              </w:divBdr>
              <w:divsChild>
                <w:div w:id="1140725976">
                  <w:marLeft w:val="0"/>
                  <w:marRight w:val="0"/>
                  <w:marTop w:val="0"/>
                  <w:marBottom w:val="0"/>
                  <w:divBdr>
                    <w:top w:val="none" w:sz="0" w:space="0" w:color="auto"/>
                    <w:left w:val="none" w:sz="0" w:space="0" w:color="auto"/>
                    <w:bottom w:val="none" w:sz="0" w:space="0" w:color="auto"/>
                    <w:right w:val="none" w:sz="0" w:space="0" w:color="auto"/>
                  </w:divBdr>
                </w:div>
              </w:divsChild>
            </w:div>
            <w:div w:id="1041590835">
              <w:marLeft w:val="0"/>
              <w:marRight w:val="0"/>
              <w:marTop w:val="0"/>
              <w:marBottom w:val="0"/>
              <w:divBdr>
                <w:top w:val="none" w:sz="0" w:space="0" w:color="auto"/>
                <w:left w:val="none" w:sz="0" w:space="0" w:color="auto"/>
                <w:bottom w:val="none" w:sz="0" w:space="0" w:color="auto"/>
                <w:right w:val="none" w:sz="0" w:space="0" w:color="auto"/>
              </w:divBdr>
              <w:divsChild>
                <w:div w:id="299699559">
                  <w:marLeft w:val="0"/>
                  <w:marRight w:val="0"/>
                  <w:marTop w:val="0"/>
                  <w:marBottom w:val="0"/>
                  <w:divBdr>
                    <w:top w:val="none" w:sz="0" w:space="0" w:color="auto"/>
                    <w:left w:val="none" w:sz="0" w:space="0" w:color="auto"/>
                    <w:bottom w:val="none" w:sz="0" w:space="0" w:color="auto"/>
                    <w:right w:val="none" w:sz="0" w:space="0" w:color="auto"/>
                  </w:divBdr>
                </w:div>
              </w:divsChild>
            </w:div>
            <w:div w:id="424956336">
              <w:marLeft w:val="0"/>
              <w:marRight w:val="0"/>
              <w:marTop w:val="0"/>
              <w:marBottom w:val="0"/>
              <w:divBdr>
                <w:top w:val="none" w:sz="0" w:space="0" w:color="auto"/>
                <w:left w:val="none" w:sz="0" w:space="0" w:color="auto"/>
                <w:bottom w:val="none" w:sz="0" w:space="0" w:color="auto"/>
                <w:right w:val="none" w:sz="0" w:space="0" w:color="auto"/>
              </w:divBdr>
              <w:divsChild>
                <w:div w:id="405300358">
                  <w:marLeft w:val="0"/>
                  <w:marRight w:val="0"/>
                  <w:marTop w:val="0"/>
                  <w:marBottom w:val="0"/>
                  <w:divBdr>
                    <w:top w:val="none" w:sz="0" w:space="0" w:color="auto"/>
                    <w:left w:val="none" w:sz="0" w:space="0" w:color="auto"/>
                    <w:bottom w:val="none" w:sz="0" w:space="0" w:color="auto"/>
                    <w:right w:val="none" w:sz="0" w:space="0" w:color="auto"/>
                  </w:divBdr>
                  <w:divsChild>
                    <w:div w:id="144599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445834">
          <w:marLeft w:val="0"/>
          <w:marRight w:val="0"/>
          <w:marTop w:val="0"/>
          <w:marBottom w:val="0"/>
          <w:divBdr>
            <w:top w:val="none" w:sz="0" w:space="0" w:color="auto"/>
            <w:left w:val="none" w:sz="0" w:space="0" w:color="auto"/>
            <w:bottom w:val="none" w:sz="0" w:space="0" w:color="auto"/>
            <w:right w:val="none" w:sz="0" w:space="0" w:color="auto"/>
          </w:divBdr>
          <w:divsChild>
            <w:div w:id="2079670103">
              <w:marLeft w:val="0"/>
              <w:marRight w:val="0"/>
              <w:marTop w:val="0"/>
              <w:marBottom w:val="0"/>
              <w:divBdr>
                <w:top w:val="none" w:sz="0" w:space="0" w:color="auto"/>
                <w:left w:val="none" w:sz="0" w:space="0" w:color="auto"/>
                <w:bottom w:val="none" w:sz="0" w:space="0" w:color="auto"/>
                <w:right w:val="none" w:sz="0" w:space="0" w:color="auto"/>
              </w:divBdr>
              <w:divsChild>
                <w:div w:id="1889100293">
                  <w:marLeft w:val="0"/>
                  <w:marRight w:val="0"/>
                  <w:marTop w:val="0"/>
                  <w:marBottom w:val="0"/>
                  <w:divBdr>
                    <w:top w:val="none" w:sz="0" w:space="0" w:color="auto"/>
                    <w:left w:val="none" w:sz="0" w:space="0" w:color="auto"/>
                    <w:bottom w:val="none" w:sz="0" w:space="0" w:color="auto"/>
                    <w:right w:val="none" w:sz="0" w:space="0" w:color="auto"/>
                  </w:divBdr>
                </w:div>
              </w:divsChild>
            </w:div>
            <w:div w:id="2016758403">
              <w:marLeft w:val="0"/>
              <w:marRight w:val="0"/>
              <w:marTop w:val="0"/>
              <w:marBottom w:val="0"/>
              <w:divBdr>
                <w:top w:val="none" w:sz="0" w:space="0" w:color="auto"/>
                <w:left w:val="none" w:sz="0" w:space="0" w:color="auto"/>
                <w:bottom w:val="none" w:sz="0" w:space="0" w:color="auto"/>
                <w:right w:val="none" w:sz="0" w:space="0" w:color="auto"/>
              </w:divBdr>
              <w:divsChild>
                <w:div w:id="50690453">
                  <w:marLeft w:val="0"/>
                  <w:marRight w:val="0"/>
                  <w:marTop w:val="0"/>
                  <w:marBottom w:val="0"/>
                  <w:divBdr>
                    <w:top w:val="none" w:sz="0" w:space="0" w:color="auto"/>
                    <w:left w:val="none" w:sz="0" w:space="0" w:color="auto"/>
                    <w:bottom w:val="none" w:sz="0" w:space="0" w:color="auto"/>
                    <w:right w:val="none" w:sz="0" w:space="0" w:color="auto"/>
                  </w:divBdr>
                </w:div>
              </w:divsChild>
            </w:div>
            <w:div w:id="458035140">
              <w:marLeft w:val="0"/>
              <w:marRight w:val="0"/>
              <w:marTop w:val="0"/>
              <w:marBottom w:val="0"/>
              <w:divBdr>
                <w:top w:val="none" w:sz="0" w:space="0" w:color="auto"/>
                <w:left w:val="none" w:sz="0" w:space="0" w:color="auto"/>
                <w:bottom w:val="none" w:sz="0" w:space="0" w:color="auto"/>
                <w:right w:val="none" w:sz="0" w:space="0" w:color="auto"/>
              </w:divBdr>
              <w:divsChild>
                <w:div w:id="762989777">
                  <w:marLeft w:val="0"/>
                  <w:marRight w:val="0"/>
                  <w:marTop w:val="0"/>
                  <w:marBottom w:val="0"/>
                  <w:divBdr>
                    <w:top w:val="none" w:sz="0" w:space="0" w:color="auto"/>
                    <w:left w:val="none" w:sz="0" w:space="0" w:color="auto"/>
                    <w:bottom w:val="none" w:sz="0" w:space="0" w:color="auto"/>
                    <w:right w:val="none" w:sz="0" w:space="0" w:color="auto"/>
                  </w:divBdr>
                  <w:divsChild>
                    <w:div w:id="54992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003078">
          <w:marLeft w:val="0"/>
          <w:marRight w:val="0"/>
          <w:marTop w:val="0"/>
          <w:marBottom w:val="0"/>
          <w:divBdr>
            <w:top w:val="none" w:sz="0" w:space="0" w:color="auto"/>
            <w:left w:val="none" w:sz="0" w:space="0" w:color="auto"/>
            <w:bottom w:val="none" w:sz="0" w:space="0" w:color="auto"/>
            <w:right w:val="none" w:sz="0" w:space="0" w:color="auto"/>
          </w:divBdr>
          <w:divsChild>
            <w:div w:id="1455632675">
              <w:marLeft w:val="0"/>
              <w:marRight w:val="0"/>
              <w:marTop w:val="0"/>
              <w:marBottom w:val="0"/>
              <w:divBdr>
                <w:top w:val="none" w:sz="0" w:space="0" w:color="auto"/>
                <w:left w:val="none" w:sz="0" w:space="0" w:color="auto"/>
                <w:bottom w:val="none" w:sz="0" w:space="0" w:color="auto"/>
                <w:right w:val="none" w:sz="0" w:space="0" w:color="auto"/>
              </w:divBdr>
              <w:divsChild>
                <w:div w:id="1955596998">
                  <w:marLeft w:val="0"/>
                  <w:marRight w:val="0"/>
                  <w:marTop w:val="0"/>
                  <w:marBottom w:val="0"/>
                  <w:divBdr>
                    <w:top w:val="none" w:sz="0" w:space="0" w:color="auto"/>
                    <w:left w:val="none" w:sz="0" w:space="0" w:color="auto"/>
                    <w:bottom w:val="none" w:sz="0" w:space="0" w:color="auto"/>
                    <w:right w:val="none" w:sz="0" w:space="0" w:color="auto"/>
                  </w:divBdr>
                </w:div>
              </w:divsChild>
            </w:div>
            <w:div w:id="1084959833">
              <w:marLeft w:val="0"/>
              <w:marRight w:val="0"/>
              <w:marTop w:val="0"/>
              <w:marBottom w:val="0"/>
              <w:divBdr>
                <w:top w:val="none" w:sz="0" w:space="0" w:color="auto"/>
                <w:left w:val="none" w:sz="0" w:space="0" w:color="auto"/>
                <w:bottom w:val="none" w:sz="0" w:space="0" w:color="auto"/>
                <w:right w:val="none" w:sz="0" w:space="0" w:color="auto"/>
              </w:divBdr>
              <w:divsChild>
                <w:div w:id="488985427">
                  <w:marLeft w:val="0"/>
                  <w:marRight w:val="0"/>
                  <w:marTop w:val="0"/>
                  <w:marBottom w:val="0"/>
                  <w:divBdr>
                    <w:top w:val="none" w:sz="0" w:space="0" w:color="auto"/>
                    <w:left w:val="none" w:sz="0" w:space="0" w:color="auto"/>
                    <w:bottom w:val="none" w:sz="0" w:space="0" w:color="auto"/>
                    <w:right w:val="none" w:sz="0" w:space="0" w:color="auto"/>
                  </w:divBdr>
                </w:div>
              </w:divsChild>
            </w:div>
            <w:div w:id="871309329">
              <w:marLeft w:val="0"/>
              <w:marRight w:val="0"/>
              <w:marTop w:val="0"/>
              <w:marBottom w:val="0"/>
              <w:divBdr>
                <w:top w:val="none" w:sz="0" w:space="0" w:color="auto"/>
                <w:left w:val="none" w:sz="0" w:space="0" w:color="auto"/>
                <w:bottom w:val="none" w:sz="0" w:space="0" w:color="auto"/>
                <w:right w:val="none" w:sz="0" w:space="0" w:color="auto"/>
              </w:divBdr>
              <w:divsChild>
                <w:div w:id="781069266">
                  <w:marLeft w:val="0"/>
                  <w:marRight w:val="0"/>
                  <w:marTop w:val="0"/>
                  <w:marBottom w:val="0"/>
                  <w:divBdr>
                    <w:top w:val="none" w:sz="0" w:space="0" w:color="auto"/>
                    <w:left w:val="none" w:sz="0" w:space="0" w:color="auto"/>
                    <w:bottom w:val="none" w:sz="0" w:space="0" w:color="auto"/>
                    <w:right w:val="none" w:sz="0" w:space="0" w:color="auto"/>
                  </w:divBdr>
                  <w:divsChild>
                    <w:div w:id="18606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921911">
          <w:marLeft w:val="0"/>
          <w:marRight w:val="0"/>
          <w:marTop w:val="0"/>
          <w:marBottom w:val="0"/>
          <w:divBdr>
            <w:top w:val="none" w:sz="0" w:space="0" w:color="auto"/>
            <w:left w:val="none" w:sz="0" w:space="0" w:color="auto"/>
            <w:bottom w:val="none" w:sz="0" w:space="0" w:color="auto"/>
            <w:right w:val="none" w:sz="0" w:space="0" w:color="auto"/>
          </w:divBdr>
          <w:divsChild>
            <w:div w:id="1607957927">
              <w:marLeft w:val="0"/>
              <w:marRight w:val="0"/>
              <w:marTop w:val="0"/>
              <w:marBottom w:val="0"/>
              <w:divBdr>
                <w:top w:val="none" w:sz="0" w:space="0" w:color="auto"/>
                <w:left w:val="none" w:sz="0" w:space="0" w:color="auto"/>
                <w:bottom w:val="none" w:sz="0" w:space="0" w:color="auto"/>
                <w:right w:val="none" w:sz="0" w:space="0" w:color="auto"/>
              </w:divBdr>
              <w:divsChild>
                <w:div w:id="1107309634">
                  <w:marLeft w:val="0"/>
                  <w:marRight w:val="0"/>
                  <w:marTop w:val="0"/>
                  <w:marBottom w:val="0"/>
                  <w:divBdr>
                    <w:top w:val="none" w:sz="0" w:space="0" w:color="auto"/>
                    <w:left w:val="none" w:sz="0" w:space="0" w:color="auto"/>
                    <w:bottom w:val="none" w:sz="0" w:space="0" w:color="auto"/>
                    <w:right w:val="none" w:sz="0" w:space="0" w:color="auto"/>
                  </w:divBdr>
                </w:div>
              </w:divsChild>
            </w:div>
            <w:div w:id="81879680">
              <w:marLeft w:val="0"/>
              <w:marRight w:val="0"/>
              <w:marTop w:val="0"/>
              <w:marBottom w:val="0"/>
              <w:divBdr>
                <w:top w:val="none" w:sz="0" w:space="0" w:color="auto"/>
                <w:left w:val="none" w:sz="0" w:space="0" w:color="auto"/>
                <w:bottom w:val="none" w:sz="0" w:space="0" w:color="auto"/>
                <w:right w:val="none" w:sz="0" w:space="0" w:color="auto"/>
              </w:divBdr>
              <w:divsChild>
                <w:div w:id="259028940">
                  <w:marLeft w:val="0"/>
                  <w:marRight w:val="0"/>
                  <w:marTop w:val="0"/>
                  <w:marBottom w:val="0"/>
                  <w:divBdr>
                    <w:top w:val="none" w:sz="0" w:space="0" w:color="auto"/>
                    <w:left w:val="none" w:sz="0" w:space="0" w:color="auto"/>
                    <w:bottom w:val="none" w:sz="0" w:space="0" w:color="auto"/>
                    <w:right w:val="none" w:sz="0" w:space="0" w:color="auto"/>
                  </w:divBdr>
                </w:div>
              </w:divsChild>
            </w:div>
            <w:div w:id="1275478621">
              <w:marLeft w:val="0"/>
              <w:marRight w:val="0"/>
              <w:marTop w:val="0"/>
              <w:marBottom w:val="0"/>
              <w:divBdr>
                <w:top w:val="none" w:sz="0" w:space="0" w:color="auto"/>
                <w:left w:val="none" w:sz="0" w:space="0" w:color="auto"/>
                <w:bottom w:val="none" w:sz="0" w:space="0" w:color="auto"/>
                <w:right w:val="none" w:sz="0" w:space="0" w:color="auto"/>
              </w:divBdr>
              <w:divsChild>
                <w:div w:id="952396556">
                  <w:marLeft w:val="0"/>
                  <w:marRight w:val="0"/>
                  <w:marTop w:val="0"/>
                  <w:marBottom w:val="0"/>
                  <w:divBdr>
                    <w:top w:val="none" w:sz="0" w:space="0" w:color="auto"/>
                    <w:left w:val="none" w:sz="0" w:space="0" w:color="auto"/>
                    <w:bottom w:val="none" w:sz="0" w:space="0" w:color="auto"/>
                    <w:right w:val="none" w:sz="0" w:space="0" w:color="auto"/>
                  </w:divBdr>
                  <w:divsChild>
                    <w:div w:id="165348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699302">
          <w:marLeft w:val="0"/>
          <w:marRight w:val="0"/>
          <w:marTop w:val="0"/>
          <w:marBottom w:val="0"/>
          <w:divBdr>
            <w:top w:val="none" w:sz="0" w:space="0" w:color="auto"/>
            <w:left w:val="none" w:sz="0" w:space="0" w:color="auto"/>
            <w:bottom w:val="none" w:sz="0" w:space="0" w:color="auto"/>
            <w:right w:val="none" w:sz="0" w:space="0" w:color="auto"/>
          </w:divBdr>
          <w:divsChild>
            <w:div w:id="1094976534">
              <w:marLeft w:val="0"/>
              <w:marRight w:val="0"/>
              <w:marTop w:val="0"/>
              <w:marBottom w:val="0"/>
              <w:divBdr>
                <w:top w:val="none" w:sz="0" w:space="0" w:color="auto"/>
                <w:left w:val="none" w:sz="0" w:space="0" w:color="auto"/>
                <w:bottom w:val="none" w:sz="0" w:space="0" w:color="auto"/>
                <w:right w:val="none" w:sz="0" w:space="0" w:color="auto"/>
              </w:divBdr>
              <w:divsChild>
                <w:div w:id="1961451552">
                  <w:marLeft w:val="0"/>
                  <w:marRight w:val="0"/>
                  <w:marTop w:val="0"/>
                  <w:marBottom w:val="0"/>
                  <w:divBdr>
                    <w:top w:val="none" w:sz="0" w:space="0" w:color="auto"/>
                    <w:left w:val="none" w:sz="0" w:space="0" w:color="auto"/>
                    <w:bottom w:val="none" w:sz="0" w:space="0" w:color="auto"/>
                    <w:right w:val="none" w:sz="0" w:space="0" w:color="auto"/>
                  </w:divBdr>
                </w:div>
              </w:divsChild>
            </w:div>
            <w:div w:id="1636368510">
              <w:marLeft w:val="0"/>
              <w:marRight w:val="0"/>
              <w:marTop w:val="0"/>
              <w:marBottom w:val="0"/>
              <w:divBdr>
                <w:top w:val="none" w:sz="0" w:space="0" w:color="auto"/>
                <w:left w:val="none" w:sz="0" w:space="0" w:color="auto"/>
                <w:bottom w:val="none" w:sz="0" w:space="0" w:color="auto"/>
                <w:right w:val="none" w:sz="0" w:space="0" w:color="auto"/>
              </w:divBdr>
              <w:divsChild>
                <w:div w:id="1454448238">
                  <w:marLeft w:val="0"/>
                  <w:marRight w:val="0"/>
                  <w:marTop w:val="0"/>
                  <w:marBottom w:val="0"/>
                  <w:divBdr>
                    <w:top w:val="none" w:sz="0" w:space="0" w:color="auto"/>
                    <w:left w:val="none" w:sz="0" w:space="0" w:color="auto"/>
                    <w:bottom w:val="none" w:sz="0" w:space="0" w:color="auto"/>
                    <w:right w:val="none" w:sz="0" w:space="0" w:color="auto"/>
                  </w:divBdr>
                </w:div>
              </w:divsChild>
            </w:div>
            <w:div w:id="996114078">
              <w:marLeft w:val="0"/>
              <w:marRight w:val="0"/>
              <w:marTop w:val="0"/>
              <w:marBottom w:val="0"/>
              <w:divBdr>
                <w:top w:val="none" w:sz="0" w:space="0" w:color="auto"/>
                <w:left w:val="none" w:sz="0" w:space="0" w:color="auto"/>
                <w:bottom w:val="none" w:sz="0" w:space="0" w:color="auto"/>
                <w:right w:val="none" w:sz="0" w:space="0" w:color="auto"/>
              </w:divBdr>
              <w:divsChild>
                <w:div w:id="1234195567">
                  <w:marLeft w:val="0"/>
                  <w:marRight w:val="0"/>
                  <w:marTop w:val="0"/>
                  <w:marBottom w:val="0"/>
                  <w:divBdr>
                    <w:top w:val="none" w:sz="0" w:space="0" w:color="auto"/>
                    <w:left w:val="none" w:sz="0" w:space="0" w:color="auto"/>
                    <w:bottom w:val="none" w:sz="0" w:space="0" w:color="auto"/>
                    <w:right w:val="none" w:sz="0" w:space="0" w:color="auto"/>
                  </w:divBdr>
                  <w:divsChild>
                    <w:div w:id="163980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621537">
          <w:marLeft w:val="0"/>
          <w:marRight w:val="0"/>
          <w:marTop w:val="0"/>
          <w:marBottom w:val="0"/>
          <w:divBdr>
            <w:top w:val="none" w:sz="0" w:space="0" w:color="auto"/>
            <w:left w:val="none" w:sz="0" w:space="0" w:color="auto"/>
            <w:bottom w:val="none" w:sz="0" w:space="0" w:color="auto"/>
            <w:right w:val="none" w:sz="0" w:space="0" w:color="auto"/>
          </w:divBdr>
          <w:divsChild>
            <w:div w:id="1053237525">
              <w:marLeft w:val="0"/>
              <w:marRight w:val="0"/>
              <w:marTop w:val="0"/>
              <w:marBottom w:val="0"/>
              <w:divBdr>
                <w:top w:val="none" w:sz="0" w:space="0" w:color="auto"/>
                <w:left w:val="none" w:sz="0" w:space="0" w:color="auto"/>
                <w:bottom w:val="none" w:sz="0" w:space="0" w:color="auto"/>
                <w:right w:val="none" w:sz="0" w:space="0" w:color="auto"/>
              </w:divBdr>
              <w:divsChild>
                <w:div w:id="542181908">
                  <w:marLeft w:val="0"/>
                  <w:marRight w:val="0"/>
                  <w:marTop w:val="0"/>
                  <w:marBottom w:val="0"/>
                  <w:divBdr>
                    <w:top w:val="none" w:sz="0" w:space="0" w:color="auto"/>
                    <w:left w:val="none" w:sz="0" w:space="0" w:color="auto"/>
                    <w:bottom w:val="none" w:sz="0" w:space="0" w:color="auto"/>
                    <w:right w:val="none" w:sz="0" w:space="0" w:color="auto"/>
                  </w:divBdr>
                </w:div>
              </w:divsChild>
            </w:div>
            <w:div w:id="1100567421">
              <w:marLeft w:val="0"/>
              <w:marRight w:val="0"/>
              <w:marTop w:val="0"/>
              <w:marBottom w:val="0"/>
              <w:divBdr>
                <w:top w:val="none" w:sz="0" w:space="0" w:color="auto"/>
                <w:left w:val="none" w:sz="0" w:space="0" w:color="auto"/>
                <w:bottom w:val="none" w:sz="0" w:space="0" w:color="auto"/>
                <w:right w:val="none" w:sz="0" w:space="0" w:color="auto"/>
              </w:divBdr>
              <w:divsChild>
                <w:div w:id="1068917882">
                  <w:marLeft w:val="0"/>
                  <w:marRight w:val="0"/>
                  <w:marTop w:val="0"/>
                  <w:marBottom w:val="0"/>
                  <w:divBdr>
                    <w:top w:val="none" w:sz="0" w:space="0" w:color="auto"/>
                    <w:left w:val="none" w:sz="0" w:space="0" w:color="auto"/>
                    <w:bottom w:val="none" w:sz="0" w:space="0" w:color="auto"/>
                    <w:right w:val="none" w:sz="0" w:space="0" w:color="auto"/>
                  </w:divBdr>
                </w:div>
              </w:divsChild>
            </w:div>
            <w:div w:id="616958774">
              <w:marLeft w:val="0"/>
              <w:marRight w:val="0"/>
              <w:marTop w:val="0"/>
              <w:marBottom w:val="0"/>
              <w:divBdr>
                <w:top w:val="none" w:sz="0" w:space="0" w:color="auto"/>
                <w:left w:val="none" w:sz="0" w:space="0" w:color="auto"/>
                <w:bottom w:val="none" w:sz="0" w:space="0" w:color="auto"/>
                <w:right w:val="none" w:sz="0" w:space="0" w:color="auto"/>
              </w:divBdr>
              <w:divsChild>
                <w:div w:id="261299626">
                  <w:marLeft w:val="0"/>
                  <w:marRight w:val="0"/>
                  <w:marTop w:val="0"/>
                  <w:marBottom w:val="0"/>
                  <w:divBdr>
                    <w:top w:val="none" w:sz="0" w:space="0" w:color="auto"/>
                    <w:left w:val="none" w:sz="0" w:space="0" w:color="auto"/>
                    <w:bottom w:val="none" w:sz="0" w:space="0" w:color="auto"/>
                    <w:right w:val="none" w:sz="0" w:space="0" w:color="auto"/>
                  </w:divBdr>
                  <w:divsChild>
                    <w:div w:id="13055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713157">
          <w:marLeft w:val="0"/>
          <w:marRight w:val="0"/>
          <w:marTop w:val="0"/>
          <w:marBottom w:val="0"/>
          <w:divBdr>
            <w:top w:val="none" w:sz="0" w:space="0" w:color="auto"/>
            <w:left w:val="none" w:sz="0" w:space="0" w:color="auto"/>
            <w:bottom w:val="none" w:sz="0" w:space="0" w:color="auto"/>
            <w:right w:val="none" w:sz="0" w:space="0" w:color="auto"/>
          </w:divBdr>
          <w:divsChild>
            <w:div w:id="1012294129">
              <w:marLeft w:val="0"/>
              <w:marRight w:val="0"/>
              <w:marTop w:val="0"/>
              <w:marBottom w:val="0"/>
              <w:divBdr>
                <w:top w:val="none" w:sz="0" w:space="0" w:color="auto"/>
                <w:left w:val="none" w:sz="0" w:space="0" w:color="auto"/>
                <w:bottom w:val="none" w:sz="0" w:space="0" w:color="auto"/>
                <w:right w:val="none" w:sz="0" w:space="0" w:color="auto"/>
              </w:divBdr>
              <w:divsChild>
                <w:div w:id="741222481">
                  <w:marLeft w:val="0"/>
                  <w:marRight w:val="0"/>
                  <w:marTop w:val="0"/>
                  <w:marBottom w:val="0"/>
                  <w:divBdr>
                    <w:top w:val="none" w:sz="0" w:space="0" w:color="auto"/>
                    <w:left w:val="none" w:sz="0" w:space="0" w:color="auto"/>
                    <w:bottom w:val="none" w:sz="0" w:space="0" w:color="auto"/>
                    <w:right w:val="none" w:sz="0" w:space="0" w:color="auto"/>
                  </w:divBdr>
                </w:div>
              </w:divsChild>
            </w:div>
            <w:div w:id="176114147">
              <w:marLeft w:val="0"/>
              <w:marRight w:val="0"/>
              <w:marTop w:val="0"/>
              <w:marBottom w:val="0"/>
              <w:divBdr>
                <w:top w:val="none" w:sz="0" w:space="0" w:color="auto"/>
                <w:left w:val="none" w:sz="0" w:space="0" w:color="auto"/>
                <w:bottom w:val="none" w:sz="0" w:space="0" w:color="auto"/>
                <w:right w:val="none" w:sz="0" w:space="0" w:color="auto"/>
              </w:divBdr>
              <w:divsChild>
                <w:div w:id="2042316285">
                  <w:marLeft w:val="0"/>
                  <w:marRight w:val="0"/>
                  <w:marTop w:val="0"/>
                  <w:marBottom w:val="0"/>
                  <w:divBdr>
                    <w:top w:val="none" w:sz="0" w:space="0" w:color="auto"/>
                    <w:left w:val="none" w:sz="0" w:space="0" w:color="auto"/>
                    <w:bottom w:val="none" w:sz="0" w:space="0" w:color="auto"/>
                    <w:right w:val="none" w:sz="0" w:space="0" w:color="auto"/>
                  </w:divBdr>
                </w:div>
              </w:divsChild>
            </w:div>
            <w:div w:id="507332019">
              <w:marLeft w:val="0"/>
              <w:marRight w:val="0"/>
              <w:marTop w:val="0"/>
              <w:marBottom w:val="0"/>
              <w:divBdr>
                <w:top w:val="none" w:sz="0" w:space="0" w:color="auto"/>
                <w:left w:val="none" w:sz="0" w:space="0" w:color="auto"/>
                <w:bottom w:val="none" w:sz="0" w:space="0" w:color="auto"/>
                <w:right w:val="none" w:sz="0" w:space="0" w:color="auto"/>
              </w:divBdr>
              <w:divsChild>
                <w:div w:id="437218783">
                  <w:marLeft w:val="0"/>
                  <w:marRight w:val="0"/>
                  <w:marTop w:val="0"/>
                  <w:marBottom w:val="0"/>
                  <w:divBdr>
                    <w:top w:val="none" w:sz="0" w:space="0" w:color="auto"/>
                    <w:left w:val="none" w:sz="0" w:space="0" w:color="auto"/>
                    <w:bottom w:val="none" w:sz="0" w:space="0" w:color="auto"/>
                    <w:right w:val="none" w:sz="0" w:space="0" w:color="auto"/>
                  </w:divBdr>
                  <w:divsChild>
                    <w:div w:id="9006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709120">
          <w:marLeft w:val="0"/>
          <w:marRight w:val="0"/>
          <w:marTop w:val="0"/>
          <w:marBottom w:val="0"/>
          <w:divBdr>
            <w:top w:val="none" w:sz="0" w:space="0" w:color="auto"/>
            <w:left w:val="none" w:sz="0" w:space="0" w:color="auto"/>
            <w:bottom w:val="none" w:sz="0" w:space="0" w:color="auto"/>
            <w:right w:val="none" w:sz="0" w:space="0" w:color="auto"/>
          </w:divBdr>
          <w:divsChild>
            <w:div w:id="1246720290">
              <w:marLeft w:val="0"/>
              <w:marRight w:val="0"/>
              <w:marTop w:val="0"/>
              <w:marBottom w:val="0"/>
              <w:divBdr>
                <w:top w:val="none" w:sz="0" w:space="0" w:color="auto"/>
                <w:left w:val="none" w:sz="0" w:space="0" w:color="auto"/>
                <w:bottom w:val="none" w:sz="0" w:space="0" w:color="auto"/>
                <w:right w:val="none" w:sz="0" w:space="0" w:color="auto"/>
              </w:divBdr>
              <w:divsChild>
                <w:div w:id="1529904479">
                  <w:marLeft w:val="0"/>
                  <w:marRight w:val="0"/>
                  <w:marTop w:val="0"/>
                  <w:marBottom w:val="0"/>
                  <w:divBdr>
                    <w:top w:val="none" w:sz="0" w:space="0" w:color="auto"/>
                    <w:left w:val="none" w:sz="0" w:space="0" w:color="auto"/>
                    <w:bottom w:val="none" w:sz="0" w:space="0" w:color="auto"/>
                    <w:right w:val="none" w:sz="0" w:space="0" w:color="auto"/>
                  </w:divBdr>
                </w:div>
              </w:divsChild>
            </w:div>
            <w:div w:id="49041408">
              <w:marLeft w:val="0"/>
              <w:marRight w:val="0"/>
              <w:marTop w:val="0"/>
              <w:marBottom w:val="0"/>
              <w:divBdr>
                <w:top w:val="none" w:sz="0" w:space="0" w:color="auto"/>
                <w:left w:val="none" w:sz="0" w:space="0" w:color="auto"/>
                <w:bottom w:val="none" w:sz="0" w:space="0" w:color="auto"/>
                <w:right w:val="none" w:sz="0" w:space="0" w:color="auto"/>
              </w:divBdr>
              <w:divsChild>
                <w:div w:id="1037243460">
                  <w:marLeft w:val="0"/>
                  <w:marRight w:val="0"/>
                  <w:marTop w:val="0"/>
                  <w:marBottom w:val="0"/>
                  <w:divBdr>
                    <w:top w:val="none" w:sz="0" w:space="0" w:color="auto"/>
                    <w:left w:val="none" w:sz="0" w:space="0" w:color="auto"/>
                    <w:bottom w:val="none" w:sz="0" w:space="0" w:color="auto"/>
                    <w:right w:val="none" w:sz="0" w:space="0" w:color="auto"/>
                  </w:divBdr>
                </w:div>
              </w:divsChild>
            </w:div>
            <w:div w:id="2125689255">
              <w:marLeft w:val="0"/>
              <w:marRight w:val="0"/>
              <w:marTop w:val="0"/>
              <w:marBottom w:val="0"/>
              <w:divBdr>
                <w:top w:val="none" w:sz="0" w:space="0" w:color="auto"/>
                <w:left w:val="none" w:sz="0" w:space="0" w:color="auto"/>
                <w:bottom w:val="none" w:sz="0" w:space="0" w:color="auto"/>
                <w:right w:val="none" w:sz="0" w:space="0" w:color="auto"/>
              </w:divBdr>
              <w:divsChild>
                <w:div w:id="600335590">
                  <w:marLeft w:val="0"/>
                  <w:marRight w:val="0"/>
                  <w:marTop w:val="0"/>
                  <w:marBottom w:val="0"/>
                  <w:divBdr>
                    <w:top w:val="none" w:sz="0" w:space="0" w:color="auto"/>
                    <w:left w:val="none" w:sz="0" w:space="0" w:color="auto"/>
                    <w:bottom w:val="none" w:sz="0" w:space="0" w:color="auto"/>
                    <w:right w:val="none" w:sz="0" w:space="0" w:color="auto"/>
                  </w:divBdr>
                  <w:divsChild>
                    <w:div w:id="60516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735713">
          <w:marLeft w:val="0"/>
          <w:marRight w:val="0"/>
          <w:marTop w:val="0"/>
          <w:marBottom w:val="0"/>
          <w:divBdr>
            <w:top w:val="none" w:sz="0" w:space="0" w:color="auto"/>
            <w:left w:val="none" w:sz="0" w:space="0" w:color="auto"/>
            <w:bottom w:val="none" w:sz="0" w:space="0" w:color="auto"/>
            <w:right w:val="none" w:sz="0" w:space="0" w:color="auto"/>
          </w:divBdr>
          <w:divsChild>
            <w:div w:id="1542938674">
              <w:marLeft w:val="0"/>
              <w:marRight w:val="0"/>
              <w:marTop w:val="0"/>
              <w:marBottom w:val="0"/>
              <w:divBdr>
                <w:top w:val="none" w:sz="0" w:space="0" w:color="auto"/>
                <w:left w:val="none" w:sz="0" w:space="0" w:color="auto"/>
                <w:bottom w:val="none" w:sz="0" w:space="0" w:color="auto"/>
                <w:right w:val="none" w:sz="0" w:space="0" w:color="auto"/>
              </w:divBdr>
              <w:divsChild>
                <w:div w:id="176844757">
                  <w:marLeft w:val="0"/>
                  <w:marRight w:val="0"/>
                  <w:marTop w:val="0"/>
                  <w:marBottom w:val="0"/>
                  <w:divBdr>
                    <w:top w:val="none" w:sz="0" w:space="0" w:color="auto"/>
                    <w:left w:val="none" w:sz="0" w:space="0" w:color="auto"/>
                    <w:bottom w:val="none" w:sz="0" w:space="0" w:color="auto"/>
                    <w:right w:val="none" w:sz="0" w:space="0" w:color="auto"/>
                  </w:divBdr>
                </w:div>
              </w:divsChild>
            </w:div>
            <w:div w:id="1081681089">
              <w:marLeft w:val="0"/>
              <w:marRight w:val="0"/>
              <w:marTop w:val="0"/>
              <w:marBottom w:val="0"/>
              <w:divBdr>
                <w:top w:val="none" w:sz="0" w:space="0" w:color="auto"/>
                <w:left w:val="none" w:sz="0" w:space="0" w:color="auto"/>
                <w:bottom w:val="none" w:sz="0" w:space="0" w:color="auto"/>
                <w:right w:val="none" w:sz="0" w:space="0" w:color="auto"/>
              </w:divBdr>
              <w:divsChild>
                <w:div w:id="239291759">
                  <w:marLeft w:val="0"/>
                  <w:marRight w:val="0"/>
                  <w:marTop w:val="0"/>
                  <w:marBottom w:val="0"/>
                  <w:divBdr>
                    <w:top w:val="none" w:sz="0" w:space="0" w:color="auto"/>
                    <w:left w:val="none" w:sz="0" w:space="0" w:color="auto"/>
                    <w:bottom w:val="none" w:sz="0" w:space="0" w:color="auto"/>
                    <w:right w:val="none" w:sz="0" w:space="0" w:color="auto"/>
                  </w:divBdr>
                </w:div>
              </w:divsChild>
            </w:div>
            <w:div w:id="952248360">
              <w:marLeft w:val="0"/>
              <w:marRight w:val="0"/>
              <w:marTop w:val="0"/>
              <w:marBottom w:val="0"/>
              <w:divBdr>
                <w:top w:val="none" w:sz="0" w:space="0" w:color="auto"/>
                <w:left w:val="none" w:sz="0" w:space="0" w:color="auto"/>
                <w:bottom w:val="none" w:sz="0" w:space="0" w:color="auto"/>
                <w:right w:val="none" w:sz="0" w:space="0" w:color="auto"/>
              </w:divBdr>
              <w:divsChild>
                <w:div w:id="1385448998">
                  <w:marLeft w:val="0"/>
                  <w:marRight w:val="0"/>
                  <w:marTop w:val="0"/>
                  <w:marBottom w:val="0"/>
                  <w:divBdr>
                    <w:top w:val="none" w:sz="0" w:space="0" w:color="auto"/>
                    <w:left w:val="none" w:sz="0" w:space="0" w:color="auto"/>
                    <w:bottom w:val="none" w:sz="0" w:space="0" w:color="auto"/>
                    <w:right w:val="none" w:sz="0" w:space="0" w:color="auto"/>
                  </w:divBdr>
                  <w:divsChild>
                    <w:div w:id="45687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527788">
          <w:marLeft w:val="0"/>
          <w:marRight w:val="0"/>
          <w:marTop w:val="0"/>
          <w:marBottom w:val="0"/>
          <w:divBdr>
            <w:top w:val="none" w:sz="0" w:space="0" w:color="auto"/>
            <w:left w:val="none" w:sz="0" w:space="0" w:color="auto"/>
            <w:bottom w:val="none" w:sz="0" w:space="0" w:color="auto"/>
            <w:right w:val="none" w:sz="0" w:space="0" w:color="auto"/>
          </w:divBdr>
          <w:divsChild>
            <w:div w:id="144857799">
              <w:marLeft w:val="0"/>
              <w:marRight w:val="0"/>
              <w:marTop w:val="0"/>
              <w:marBottom w:val="0"/>
              <w:divBdr>
                <w:top w:val="none" w:sz="0" w:space="0" w:color="auto"/>
                <w:left w:val="none" w:sz="0" w:space="0" w:color="auto"/>
                <w:bottom w:val="none" w:sz="0" w:space="0" w:color="auto"/>
                <w:right w:val="none" w:sz="0" w:space="0" w:color="auto"/>
              </w:divBdr>
              <w:divsChild>
                <w:div w:id="517353572">
                  <w:marLeft w:val="0"/>
                  <w:marRight w:val="0"/>
                  <w:marTop w:val="0"/>
                  <w:marBottom w:val="0"/>
                  <w:divBdr>
                    <w:top w:val="none" w:sz="0" w:space="0" w:color="auto"/>
                    <w:left w:val="none" w:sz="0" w:space="0" w:color="auto"/>
                    <w:bottom w:val="none" w:sz="0" w:space="0" w:color="auto"/>
                    <w:right w:val="none" w:sz="0" w:space="0" w:color="auto"/>
                  </w:divBdr>
                </w:div>
              </w:divsChild>
            </w:div>
            <w:div w:id="1045255799">
              <w:marLeft w:val="0"/>
              <w:marRight w:val="0"/>
              <w:marTop w:val="0"/>
              <w:marBottom w:val="0"/>
              <w:divBdr>
                <w:top w:val="none" w:sz="0" w:space="0" w:color="auto"/>
                <w:left w:val="none" w:sz="0" w:space="0" w:color="auto"/>
                <w:bottom w:val="none" w:sz="0" w:space="0" w:color="auto"/>
                <w:right w:val="none" w:sz="0" w:space="0" w:color="auto"/>
              </w:divBdr>
              <w:divsChild>
                <w:div w:id="644354518">
                  <w:marLeft w:val="0"/>
                  <w:marRight w:val="0"/>
                  <w:marTop w:val="0"/>
                  <w:marBottom w:val="0"/>
                  <w:divBdr>
                    <w:top w:val="none" w:sz="0" w:space="0" w:color="auto"/>
                    <w:left w:val="none" w:sz="0" w:space="0" w:color="auto"/>
                    <w:bottom w:val="none" w:sz="0" w:space="0" w:color="auto"/>
                    <w:right w:val="none" w:sz="0" w:space="0" w:color="auto"/>
                  </w:divBdr>
                </w:div>
              </w:divsChild>
            </w:div>
            <w:div w:id="198512474">
              <w:marLeft w:val="0"/>
              <w:marRight w:val="0"/>
              <w:marTop w:val="0"/>
              <w:marBottom w:val="0"/>
              <w:divBdr>
                <w:top w:val="none" w:sz="0" w:space="0" w:color="auto"/>
                <w:left w:val="none" w:sz="0" w:space="0" w:color="auto"/>
                <w:bottom w:val="none" w:sz="0" w:space="0" w:color="auto"/>
                <w:right w:val="none" w:sz="0" w:space="0" w:color="auto"/>
              </w:divBdr>
              <w:divsChild>
                <w:div w:id="2134207476">
                  <w:marLeft w:val="0"/>
                  <w:marRight w:val="0"/>
                  <w:marTop w:val="0"/>
                  <w:marBottom w:val="0"/>
                  <w:divBdr>
                    <w:top w:val="none" w:sz="0" w:space="0" w:color="auto"/>
                    <w:left w:val="none" w:sz="0" w:space="0" w:color="auto"/>
                    <w:bottom w:val="none" w:sz="0" w:space="0" w:color="auto"/>
                    <w:right w:val="none" w:sz="0" w:space="0" w:color="auto"/>
                  </w:divBdr>
                  <w:divsChild>
                    <w:div w:id="83337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207090">
          <w:marLeft w:val="0"/>
          <w:marRight w:val="0"/>
          <w:marTop w:val="0"/>
          <w:marBottom w:val="0"/>
          <w:divBdr>
            <w:top w:val="none" w:sz="0" w:space="0" w:color="auto"/>
            <w:left w:val="none" w:sz="0" w:space="0" w:color="auto"/>
            <w:bottom w:val="none" w:sz="0" w:space="0" w:color="auto"/>
            <w:right w:val="none" w:sz="0" w:space="0" w:color="auto"/>
          </w:divBdr>
          <w:divsChild>
            <w:div w:id="1924144157">
              <w:marLeft w:val="0"/>
              <w:marRight w:val="0"/>
              <w:marTop w:val="0"/>
              <w:marBottom w:val="0"/>
              <w:divBdr>
                <w:top w:val="none" w:sz="0" w:space="0" w:color="auto"/>
                <w:left w:val="none" w:sz="0" w:space="0" w:color="auto"/>
                <w:bottom w:val="none" w:sz="0" w:space="0" w:color="auto"/>
                <w:right w:val="none" w:sz="0" w:space="0" w:color="auto"/>
              </w:divBdr>
              <w:divsChild>
                <w:div w:id="925184964">
                  <w:marLeft w:val="0"/>
                  <w:marRight w:val="0"/>
                  <w:marTop w:val="0"/>
                  <w:marBottom w:val="0"/>
                  <w:divBdr>
                    <w:top w:val="none" w:sz="0" w:space="0" w:color="auto"/>
                    <w:left w:val="none" w:sz="0" w:space="0" w:color="auto"/>
                    <w:bottom w:val="none" w:sz="0" w:space="0" w:color="auto"/>
                    <w:right w:val="none" w:sz="0" w:space="0" w:color="auto"/>
                  </w:divBdr>
                </w:div>
              </w:divsChild>
            </w:div>
            <w:div w:id="1651135406">
              <w:marLeft w:val="0"/>
              <w:marRight w:val="0"/>
              <w:marTop w:val="0"/>
              <w:marBottom w:val="0"/>
              <w:divBdr>
                <w:top w:val="none" w:sz="0" w:space="0" w:color="auto"/>
                <w:left w:val="none" w:sz="0" w:space="0" w:color="auto"/>
                <w:bottom w:val="none" w:sz="0" w:space="0" w:color="auto"/>
                <w:right w:val="none" w:sz="0" w:space="0" w:color="auto"/>
              </w:divBdr>
              <w:divsChild>
                <w:div w:id="44577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7130</Words>
  <Characters>40642</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2021-10-03T21:39:00Z</dcterms:created>
  <dcterms:modified xsi:type="dcterms:W3CDTF">2021-10-03T23:24:00Z</dcterms:modified>
</cp:coreProperties>
</file>